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D0FF15A" w14:textId="77777777" w:rsidR="00E52EE3" w:rsidRDefault="00E52EE3" w:rsidP="00E52EE3">
      <w:pPr>
        <w:rPr>
          <w:rFonts w:asciiTheme="minorHAnsi" w:hAnsiTheme="minorHAnsi"/>
          <w:b/>
          <w:i/>
          <w:iCs/>
          <w:sz w:val="32"/>
          <w:szCs w:val="32"/>
        </w:rPr>
      </w:pPr>
    </w:p>
    <w:p w14:paraId="026CCF4E" w14:textId="77777777" w:rsidR="00E52EE3" w:rsidRDefault="00E52EE3" w:rsidP="00E52EE3">
      <w:pPr>
        <w:rPr>
          <w:rFonts w:asciiTheme="minorHAnsi" w:hAnsiTheme="minorHAnsi"/>
          <w:b/>
          <w:i/>
          <w:iCs/>
          <w:sz w:val="32"/>
          <w:szCs w:val="32"/>
        </w:rPr>
      </w:pPr>
      <w:r>
        <w:rPr>
          <w:rFonts w:asciiTheme="minorHAnsi" w:hAnsiTheme="minorHAnsi"/>
          <w:b/>
          <w:i/>
          <w:iCs/>
          <w:sz w:val="32"/>
          <w:szCs w:val="32"/>
        </w:rPr>
        <w:t>Venezuela</w:t>
      </w:r>
    </w:p>
    <w:p w14:paraId="1BBEE1EF" w14:textId="23598A00" w:rsidR="00E52EE3" w:rsidRPr="00E52EE3" w:rsidRDefault="00E52EE3" w:rsidP="00E52EE3">
      <w:pPr>
        <w:rPr>
          <w:b/>
          <w:sz w:val="32"/>
          <w:szCs w:val="32"/>
        </w:rPr>
      </w:pPr>
      <w:r w:rsidRPr="00E52EE3">
        <w:rPr>
          <w:rFonts w:asciiTheme="minorHAnsi" w:hAnsiTheme="minorHAnsi"/>
          <w:b/>
          <w:i/>
          <w:iCs/>
          <w:sz w:val="32"/>
          <w:szCs w:val="32"/>
        </w:rPr>
        <w:t>The</w:t>
      </w:r>
      <w:r>
        <w:rPr>
          <w:rFonts w:asciiTheme="minorHAnsi" w:hAnsiTheme="minorHAnsi"/>
          <w:b/>
          <w:i/>
          <w:iCs/>
          <w:sz w:val="32"/>
          <w:szCs w:val="32"/>
        </w:rPr>
        <w:t xml:space="preserve"> </w:t>
      </w:r>
      <w:r w:rsidRPr="00E52EE3">
        <w:rPr>
          <w:rFonts w:asciiTheme="minorHAnsi" w:hAnsiTheme="minorHAnsi"/>
          <w:b/>
          <w:i/>
          <w:iCs/>
          <w:sz w:val="32"/>
          <w:szCs w:val="32"/>
        </w:rPr>
        <w:t>faces of impunity: A year after the protests, victims still await justice</w:t>
      </w:r>
    </w:p>
    <w:p w14:paraId="563D584D" w14:textId="77777777" w:rsidR="00280BF2" w:rsidRPr="00E63EFF" w:rsidRDefault="00A068B8" w:rsidP="00280BF2">
      <w:pPr>
        <w:jc w:val="both"/>
        <w:rPr>
          <w:b/>
          <w:sz w:val="36"/>
          <w:szCs w:val="36"/>
        </w:rPr>
      </w:pPr>
      <w:r w:rsidRPr="00E63EFF">
        <w:rPr>
          <w:b/>
          <w:sz w:val="36"/>
          <w:szCs w:val="36"/>
        </w:rPr>
        <w:t>EXECUTIVE SUMMARY</w:t>
      </w:r>
    </w:p>
    <w:p w14:paraId="3A0CEA09" w14:textId="6CEEE60D" w:rsidR="00247338" w:rsidRPr="001541A0" w:rsidRDefault="00492736" w:rsidP="00E63EFF">
      <w:pPr>
        <w:jc w:val="both"/>
        <w:rPr>
          <w:szCs w:val="18"/>
        </w:rPr>
      </w:pPr>
      <w:r>
        <w:rPr>
          <w:szCs w:val="18"/>
        </w:rPr>
        <w:t>A</w:t>
      </w:r>
      <w:r w:rsidR="00E63EFF" w:rsidRPr="001541A0">
        <w:rPr>
          <w:szCs w:val="18"/>
        </w:rPr>
        <w:t xml:space="preserve"> year </w:t>
      </w:r>
      <w:r w:rsidR="00DE4B33">
        <w:rPr>
          <w:szCs w:val="18"/>
        </w:rPr>
        <w:t>after</w:t>
      </w:r>
      <w:r w:rsidR="00E63EFF" w:rsidRPr="001541A0">
        <w:rPr>
          <w:szCs w:val="18"/>
        </w:rPr>
        <w:t xml:space="preserve"> the pro and anti-government protests that shook Venezuela between February and July 2014, </w:t>
      </w:r>
      <w:r w:rsidR="00392F11">
        <w:rPr>
          <w:szCs w:val="18"/>
        </w:rPr>
        <w:t>hundre</w:t>
      </w:r>
      <w:r w:rsidR="00E63EFF" w:rsidRPr="001541A0">
        <w:rPr>
          <w:szCs w:val="18"/>
        </w:rPr>
        <w:t xml:space="preserve">ds of victims </w:t>
      </w:r>
      <w:r w:rsidR="00350CEB">
        <w:rPr>
          <w:szCs w:val="18"/>
        </w:rPr>
        <w:t xml:space="preserve">of </w:t>
      </w:r>
      <w:r w:rsidR="00E63EFF" w:rsidRPr="001541A0">
        <w:rPr>
          <w:szCs w:val="18"/>
        </w:rPr>
        <w:t xml:space="preserve">human rights abuses are still </w:t>
      </w:r>
      <w:r w:rsidR="00F805FD">
        <w:rPr>
          <w:szCs w:val="18"/>
        </w:rPr>
        <w:t>a</w:t>
      </w:r>
      <w:r w:rsidR="00E63EFF" w:rsidRPr="001541A0">
        <w:rPr>
          <w:szCs w:val="18"/>
        </w:rPr>
        <w:t xml:space="preserve">waiting justice. More than 43 people died and a further 878 were injured during the </w:t>
      </w:r>
      <w:r w:rsidR="007F524A" w:rsidRPr="001541A0">
        <w:rPr>
          <w:szCs w:val="18"/>
        </w:rPr>
        <w:t>protests</w:t>
      </w:r>
      <w:r w:rsidR="007F524A">
        <w:rPr>
          <w:szCs w:val="18"/>
        </w:rPr>
        <w:t>.</w:t>
      </w:r>
      <w:r w:rsidR="007F524A">
        <w:t xml:space="preserve"> Scores</w:t>
      </w:r>
      <w:r w:rsidR="007F524A">
        <w:rPr>
          <w:szCs w:val="18"/>
        </w:rPr>
        <w:t xml:space="preserve"> were</w:t>
      </w:r>
      <w:r w:rsidR="00247338" w:rsidRPr="001541A0">
        <w:rPr>
          <w:szCs w:val="18"/>
        </w:rPr>
        <w:t xml:space="preserve"> ill-treated and 3,351 were detained, 27 of whom remain in detention awaiting trial. </w:t>
      </w:r>
      <w:r w:rsidR="00247338">
        <w:rPr>
          <w:szCs w:val="18"/>
        </w:rPr>
        <w:t>At the time of writing</w:t>
      </w:r>
      <w:r w:rsidR="00271409">
        <w:rPr>
          <w:szCs w:val="18"/>
        </w:rPr>
        <w:t xml:space="preserve">, 2 </w:t>
      </w:r>
      <w:r w:rsidR="003328F8">
        <w:rPr>
          <w:szCs w:val="18"/>
        </w:rPr>
        <w:t>March</w:t>
      </w:r>
      <w:r w:rsidR="00271409">
        <w:rPr>
          <w:szCs w:val="18"/>
        </w:rPr>
        <w:t xml:space="preserve"> 2015</w:t>
      </w:r>
      <w:r w:rsidR="007F524A">
        <w:rPr>
          <w:szCs w:val="18"/>
        </w:rPr>
        <w:t xml:space="preserve">, </w:t>
      </w:r>
      <w:r w:rsidR="00247338">
        <w:rPr>
          <w:szCs w:val="18"/>
        </w:rPr>
        <w:t>all</w:t>
      </w:r>
      <w:r w:rsidR="00247338" w:rsidRPr="001541A0">
        <w:rPr>
          <w:szCs w:val="18"/>
        </w:rPr>
        <w:t xml:space="preserve"> those </w:t>
      </w:r>
      <w:r w:rsidR="00247338">
        <w:rPr>
          <w:szCs w:val="18"/>
        </w:rPr>
        <w:t>responsi</w:t>
      </w:r>
      <w:r w:rsidR="00247338" w:rsidRPr="001541A0">
        <w:rPr>
          <w:szCs w:val="18"/>
        </w:rPr>
        <w:t>ble had not be</w:t>
      </w:r>
      <w:r w:rsidR="00247338">
        <w:rPr>
          <w:szCs w:val="18"/>
        </w:rPr>
        <w:t>en</w:t>
      </w:r>
      <w:r w:rsidR="00247338" w:rsidRPr="001541A0">
        <w:rPr>
          <w:szCs w:val="18"/>
        </w:rPr>
        <w:t xml:space="preserve"> brought to justice, victims </w:t>
      </w:r>
      <w:r w:rsidR="00247338">
        <w:rPr>
          <w:szCs w:val="18"/>
        </w:rPr>
        <w:t>and their relatives had yet to receive</w:t>
      </w:r>
      <w:r w:rsidR="00247338" w:rsidRPr="001541A0">
        <w:rPr>
          <w:szCs w:val="18"/>
        </w:rPr>
        <w:t xml:space="preserve"> reparations and those arbitrarily detained </w:t>
      </w:r>
      <w:r w:rsidR="00247338">
        <w:rPr>
          <w:szCs w:val="18"/>
        </w:rPr>
        <w:t>had not been released</w:t>
      </w:r>
      <w:r w:rsidR="00D86480">
        <w:rPr>
          <w:szCs w:val="18"/>
        </w:rPr>
        <w:t xml:space="preserve">, showing </w:t>
      </w:r>
      <w:r w:rsidR="00247338">
        <w:rPr>
          <w:szCs w:val="18"/>
        </w:rPr>
        <w:t>a clear lack of political will on the part of the Venezuelan authorities to ensure that these grave human rights violations are not repeated.</w:t>
      </w:r>
    </w:p>
    <w:p w14:paraId="1C7B3B55" w14:textId="25EB584D" w:rsidR="00247338" w:rsidRDefault="00247338" w:rsidP="00280BF2">
      <w:pPr>
        <w:jc w:val="both"/>
        <w:rPr>
          <w:szCs w:val="18"/>
        </w:rPr>
      </w:pPr>
      <w:r w:rsidRPr="008A09CD">
        <w:rPr>
          <w:szCs w:val="18"/>
        </w:rPr>
        <w:t>Th</w:t>
      </w:r>
      <w:r w:rsidR="00492736">
        <w:rPr>
          <w:szCs w:val="18"/>
        </w:rPr>
        <w:t>is</w:t>
      </w:r>
      <w:bookmarkStart w:id="0" w:name="_GoBack"/>
      <w:bookmarkEnd w:id="0"/>
      <w:r w:rsidR="00033519">
        <w:rPr>
          <w:szCs w:val="18"/>
        </w:rPr>
        <w:t xml:space="preserve"> </w:t>
      </w:r>
      <w:r w:rsidRPr="008A09CD">
        <w:rPr>
          <w:szCs w:val="18"/>
        </w:rPr>
        <w:t xml:space="preserve">report details cases in which members of the security forces or pro-government armed groups acting with their acquiescence were involved in </w:t>
      </w:r>
      <w:r>
        <w:rPr>
          <w:szCs w:val="18"/>
        </w:rPr>
        <w:t>killings,</w:t>
      </w:r>
      <w:r w:rsidR="00392F11">
        <w:rPr>
          <w:szCs w:val="18"/>
        </w:rPr>
        <w:t xml:space="preserve"> as well as cases of</w:t>
      </w:r>
      <w:r>
        <w:rPr>
          <w:szCs w:val="18"/>
        </w:rPr>
        <w:t xml:space="preserve"> torture and other ill-treatment of detainees and arbitrary detentions. During the past year, Amnesty International has </w:t>
      </w:r>
      <w:r w:rsidR="00F805FD">
        <w:rPr>
          <w:szCs w:val="18"/>
        </w:rPr>
        <w:t xml:space="preserve">also </w:t>
      </w:r>
      <w:r>
        <w:rPr>
          <w:szCs w:val="18"/>
        </w:rPr>
        <w:t>documented cases of harassment and intimidation of victims, their relatives and legal representatives</w:t>
      </w:r>
      <w:r w:rsidR="00D86480">
        <w:rPr>
          <w:szCs w:val="18"/>
        </w:rPr>
        <w:t>,</w:t>
      </w:r>
      <w:r>
        <w:rPr>
          <w:szCs w:val="18"/>
        </w:rPr>
        <w:t xml:space="preserve"> for their efforts to obtain justice. Human rights defenders who have reported these serious abuses have also been the target of attacks.</w:t>
      </w:r>
    </w:p>
    <w:p w14:paraId="6D7C8A8E" w14:textId="3D0B574A" w:rsidR="00F265E1" w:rsidRDefault="00271409" w:rsidP="00280BF2">
      <w:pPr>
        <w:jc w:val="both"/>
        <w:rPr>
          <w:szCs w:val="18"/>
        </w:rPr>
      </w:pPr>
      <w:r>
        <w:rPr>
          <w:szCs w:val="18"/>
        </w:rPr>
        <w:t xml:space="preserve">The concerns </w:t>
      </w:r>
      <w:r w:rsidR="003328F8">
        <w:rPr>
          <w:szCs w:val="18"/>
        </w:rPr>
        <w:t>and cases</w:t>
      </w:r>
      <w:r>
        <w:rPr>
          <w:szCs w:val="18"/>
        </w:rPr>
        <w:t xml:space="preserve"> highlighted in this report, </w:t>
      </w:r>
      <w:r w:rsidR="003328F8">
        <w:rPr>
          <w:szCs w:val="18"/>
        </w:rPr>
        <w:t>are the</w:t>
      </w:r>
      <w:r>
        <w:rPr>
          <w:szCs w:val="18"/>
        </w:rPr>
        <w:t xml:space="preserve"> result of interviews with </w:t>
      </w:r>
      <w:r w:rsidR="003328F8">
        <w:rPr>
          <w:szCs w:val="18"/>
        </w:rPr>
        <w:t>victims</w:t>
      </w:r>
      <w:r>
        <w:rPr>
          <w:szCs w:val="18"/>
        </w:rPr>
        <w:t xml:space="preserve"> and their relatives, human rights defenders, </w:t>
      </w:r>
      <w:r w:rsidR="00F265E1">
        <w:rPr>
          <w:szCs w:val="18"/>
        </w:rPr>
        <w:t>journalists</w:t>
      </w:r>
      <w:r>
        <w:rPr>
          <w:szCs w:val="18"/>
        </w:rPr>
        <w:t xml:space="preserve">, </w:t>
      </w:r>
      <w:r w:rsidR="00F265E1">
        <w:rPr>
          <w:szCs w:val="18"/>
        </w:rPr>
        <w:t xml:space="preserve">and </w:t>
      </w:r>
      <w:r w:rsidR="003328F8">
        <w:rPr>
          <w:szCs w:val="18"/>
        </w:rPr>
        <w:t xml:space="preserve">lawyers between February 2014 and February 2015 in Caracas as well as in the states of Valencia, Miranda, Zulia, </w:t>
      </w:r>
      <w:r w:rsidR="00F265E1">
        <w:rPr>
          <w:szCs w:val="18"/>
        </w:rPr>
        <w:t>Táchira</w:t>
      </w:r>
      <w:r w:rsidR="003328F8">
        <w:rPr>
          <w:szCs w:val="18"/>
        </w:rPr>
        <w:t xml:space="preserve"> and M</w:t>
      </w:r>
      <w:r w:rsidR="00F265E1">
        <w:rPr>
          <w:szCs w:val="18"/>
        </w:rPr>
        <w:t>é</w:t>
      </w:r>
      <w:r w:rsidR="003328F8">
        <w:rPr>
          <w:szCs w:val="18"/>
        </w:rPr>
        <w:t xml:space="preserve">rida.  The organization also met with the Attorney General and representatives of the Office of the Ombudsperson. </w:t>
      </w:r>
    </w:p>
    <w:p w14:paraId="3E9FDA1C" w14:textId="5DDC534F" w:rsidR="00247338" w:rsidRPr="00350CEB" w:rsidRDefault="00247338" w:rsidP="00280BF2">
      <w:pPr>
        <w:jc w:val="both"/>
      </w:pPr>
      <w:r>
        <w:rPr>
          <w:szCs w:val="18"/>
        </w:rPr>
        <w:t>Public Prosecut</w:t>
      </w:r>
      <w:r w:rsidR="00FA644C">
        <w:rPr>
          <w:szCs w:val="18"/>
        </w:rPr>
        <w:t>or’s</w:t>
      </w:r>
      <w:r>
        <w:rPr>
          <w:szCs w:val="18"/>
        </w:rPr>
        <w:t xml:space="preserve"> </w:t>
      </w:r>
      <w:r w:rsidR="00FA644C">
        <w:rPr>
          <w:szCs w:val="18"/>
        </w:rPr>
        <w:t>O</w:t>
      </w:r>
      <w:r w:rsidR="00A33A53">
        <w:rPr>
          <w:szCs w:val="18"/>
        </w:rPr>
        <w:t>ffic</w:t>
      </w:r>
      <w:r w:rsidR="00FA644C">
        <w:rPr>
          <w:szCs w:val="18"/>
        </w:rPr>
        <w:t>e</w:t>
      </w:r>
      <w:r>
        <w:rPr>
          <w:szCs w:val="18"/>
        </w:rPr>
        <w:t xml:space="preserve"> investigations </w:t>
      </w:r>
      <w:r w:rsidR="00350CEB">
        <w:rPr>
          <w:szCs w:val="18"/>
        </w:rPr>
        <w:t>indicate</w:t>
      </w:r>
      <w:r>
        <w:rPr>
          <w:szCs w:val="18"/>
        </w:rPr>
        <w:t xml:space="preserve"> that law enforcement officials and armed civilians, including members of pro-government armed groups, were responsible for the deaths of demonstrators and </w:t>
      </w:r>
      <w:r w:rsidR="00F805FD">
        <w:rPr>
          <w:szCs w:val="18"/>
        </w:rPr>
        <w:t>passers-by</w:t>
      </w:r>
      <w:r w:rsidR="00FE4B33">
        <w:rPr>
          <w:szCs w:val="18"/>
        </w:rPr>
        <w:t>, and</w:t>
      </w:r>
      <w:r w:rsidR="00F805FD">
        <w:rPr>
          <w:szCs w:val="18"/>
        </w:rPr>
        <w:t xml:space="preserve"> </w:t>
      </w:r>
      <w:r>
        <w:rPr>
          <w:szCs w:val="18"/>
        </w:rPr>
        <w:t>that a number of people died in incidents at the barricades erected by demonstrators to block public roads</w:t>
      </w:r>
      <w:r w:rsidRPr="00350CEB">
        <w:t>.</w:t>
      </w:r>
    </w:p>
    <w:p w14:paraId="157F40C9" w14:textId="71BCA055" w:rsidR="00247338" w:rsidRPr="00350CEB" w:rsidRDefault="00247338" w:rsidP="00280BF2">
      <w:pPr>
        <w:jc w:val="both"/>
      </w:pPr>
      <w:r w:rsidRPr="008337A9">
        <w:t>The Public Prosecut</w:t>
      </w:r>
      <w:r w:rsidR="00FA644C">
        <w:t>or</w:t>
      </w:r>
      <w:r w:rsidR="00A33A53">
        <w:t>’</w:t>
      </w:r>
      <w:r w:rsidR="00FA644C">
        <w:t xml:space="preserve">s </w:t>
      </w:r>
      <w:r w:rsidR="00207C7C">
        <w:t>Office has</w:t>
      </w:r>
      <w:r>
        <w:t xml:space="preserve"> investigated 238 reports of human rights violations, 13 of which have resulted in charges being brought against the alleged perpetrators. According to the Attorney Genera</w:t>
      </w:r>
      <w:r w:rsidR="00FA644C">
        <w:t>l</w:t>
      </w:r>
      <w:r w:rsidR="00F805FD">
        <w:t xml:space="preserve"> </w:t>
      </w:r>
      <w:r>
        <w:t>30 police officers have been charged in connection with the deaths of protesters, excessive use of force and torture and other ill-treatment</w:t>
      </w:r>
      <w:r w:rsidR="00D86480">
        <w:t>,</w:t>
      </w:r>
      <w:r>
        <w:t xml:space="preserve"> and three law enforcement officials have been convicted of ill-treatment. </w:t>
      </w:r>
      <w:r w:rsidR="00F805FD">
        <w:t xml:space="preserve">Fourteen </w:t>
      </w:r>
      <w:r>
        <w:t xml:space="preserve">officers have been detained and an arrest warrant has been issued, but not </w:t>
      </w:r>
      <w:r w:rsidR="00A532E6">
        <w:t>served</w:t>
      </w:r>
      <w:r>
        <w:t>, for another; the remainder have been granted conditional release</w:t>
      </w:r>
      <w:r w:rsidRPr="00350CEB">
        <w:t>.</w:t>
      </w:r>
    </w:p>
    <w:p w14:paraId="4DE525FA" w14:textId="07C5D5C5" w:rsidR="00247338" w:rsidRPr="00FE49CD" w:rsidRDefault="00247338" w:rsidP="002B604B">
      <w:pPr>
        <w:jc w:val="both"/>
        <w:rPr>
          <w:szCs w:val="18"/>
        </w:rPr>
      </w:pPr>
      <w:r w:rsidRPr="00483FA4">
        <w:rPr>
          <w:szCs w:val="18"/>
        </w:rPr>
        <w:t xml:space="preserve">While </w:t>
      </w:r>
      <w:r w:rsidRPr="00FE49CD">
        <w:rPr>
          <w:szCs w:val="18"/>
        </w:rPr>
        <w:t xml:space="preserve">most of the 3,351 people detained </w:t>
      </w:r>
      <w:r w:rsidR="00F805FD">
        <w:rPr>
          <w:szCs w:val="18"/>
        </w:rPr>
        <w:t>d</w:t>
      </w:r>
      <w:r w:rsidR="00FE4B33">
        <w:rPr>
          <w:szCs w:val="18"/>
        </w:rPr>
        <w:t xml:space="preserve">uring the protests </w:t>
      </w:r>
      <w:r w:rsidRPr="00FE49CD">
        <w:rPr>
          <w:szCs w:val="18"/>
        </w:rPr>
        <w:t xml:space="preserve">were released without charge, </w:t>
      </w:r>
      <w:r w:rsidRPr="00FE49CD">
        <w:rPr>
          <w:szCs w:val="18"/>
        </w:rPr>
        <w:lastRenderedPageBreak/>
        <w:t xml:space="preserve">1,404 </w:t>
      </w:r>
      <w:r w:rsidR="00F265E1">
        <w:rPr>
          <w:szCs w:val="18"/>
        </w:rPr>
        <w:t xml:space="preserve">of </w:t>
      </w:r>
      <w:r w:rsidR="00BA6D3C">
        <w:rPr>
          <w:szCs w:val="18"/>
        </w:rPr>
        <w:t>those released</w:t>
      </w:r>
      <w:r w:rsidR="00F265E1">
        <w:rPr>
          <w:szCs w:val="18"/>
        </w:rPr>
        <w:t xml:space="preserve"> </w:t>
      </w:r>
      <w:r w:rsidRPr="00FE49CD">
        <w:rPr>
          <w:szCs w:val="18"/>
        </w:rPr>
        <w:t>have been charged with obstructing public roads, wounding, damaging public property and conspiracy to commit a crime</w:t>
      </w:r>
      <w:r w:rsidR="00F265E1">
        <w:rPr>
          <w:szCs w:val="18"/>
        </w:rPr>
        <w:t xml:space="preserve"> and are </w:t>
      </w:r>
      <w:r w:rsidR="00BA6D3C">
        <w:rPr>
          <w:szCs w:val="18"/>
        </w:rPr>
        <w:t>a</w:t>
      </w:r>
      <w:r w:rsidR="00F265E1">
        <w:rPr>
          <w:szCs w:val="18"/>
        </w:rPr>
        <w:t>wa</w:t>
      </w:r>
      <w:r w:rsidR="00BA6D3C">
        <w:rPr>
          <w:szCs w:val="18"/>
        </w:rPr>
        <w:t>i</w:t>
      </w:r>
      <w:r w:rsidR="00F265E1">
        <w:rPr>
          <w:szCs w:val="18"/>
        </w:rPr>
        <w:t>ting trial</w:t>
      </w:r>
      <w:r w:rsidR="00BA6D3C">
        <w:rPr>
          <w:szCs w:val="18"/>
        </w:rPr>
        <w:t>,</w:t>
      </w:r>
      <w:r w:rsidR="00F265E1">
        <w:rPr>
          <w:szCs w:val="18"/>
        </w:rPr>
        <w:t xml:space="preserve"> and </w:t>
      </w:r>
      <w:r w:rsidR="00207C7C">
        <w:rPr>
          <w:szCs w:val="18"/>
        </w:rPr>
        <w:t xml:space="preserve">27 remain in </w:t>
      </w:r>
      <w:r w:rsidR="00F265E1">
        <w:rPr>
          <w:szCs w:val="18"/>
        </w:rPr>
        <w:t>pre-trial detention</w:t>
      </w:r>
      <w:r w:rsidR="00BA6D3C">
        <w:rPr>
          <w:szCs w:val="18"/>
        </w:rPr>
        <w:t xml:space="preserve">. </w:t>
      </w:r>
      <w:r w:rsidR="00207C7C">
        <w:t xml:space="preserve">Amnesty International has documented five of the 27 cases of people who </w:t>
      </w:r>
      <w:r w:rsidRPr="00FE49CD">
        <w:t>remain in prison awaiting trial</w:t>
      </w:r>
      <w:r w:rsidR="00D86480">
        <w:t xml:space="preserve">, and found they </w:t>
      </w:r>
      <w:r w:rsidRPr="00FE49CD">
        <w:t xml:space="preserve">were arbitrarily detained. </w:t>
      </w:r>
    </w:p>
    <w:p w14:paraId="649C6129" w14:textId="20A443BB" w:rsidR="00247338" w:rsidRDefault="00247338" w:rsidP="00280BF2">
      <w:pPr>
        <w:pStyle w:val="AIBodyText"/>
        <w:jc w:val="both"/>
      </w:pPr>
      <w:r>
        <w:rPr>
          <w:szCs w:val="18"/>
        </w:rPr>
        <w:t>The i</w:t>
      </w:r>
      <w:r w:rsidRPr="00FE49CD">
        <w:rPr>
          <w:szCs w:val="18"/>
        </w:rPr>
        <w:t xml:space="preserve">mpunity </w:t>
      </w:r>
      <w:r>
        <w:rPr>
          <w:szCs w:val="18"/>
        </w:rPr>
        <w:t>surrounding human rights violations committed during the protests in 2014 is not the exception. In Venezuela, the vast majority of human rights violations are not investigated or punished. The Public Prosecut</w:t>
      </w:r>
      <w:r w:rsidR="00D86480">
        <w:rPr>
          <w:szCs w:val="18"/>
        </w:rPr>
        <w:t>or</w:t>
      </w:r>
      <w:r w:rsidR="00F265E1">
        <w:rPr>
          <w:szCs w:val="18"/>
        </w:rPr>
        <w:t>’</w:t>
      </w:r>
      <w:r w:rsidR="00D86480">
        <w:rPr>
          <w:szCs w:val="18"/>
        </w:rPr>
        <w:t xml:space="preserve">s </w:t>
      </w:r>
      <w:r w:rsidR="00033519">
        <w:rPr>
          <w:szCs w:val="18"/>
        </w:rPr>
        <w:t xml:space="preserve">Office </w:t>
      </w:r>
      <w:r>
        <w:rPr>
          <w:szCs w:val="18"/>
        </w:rPr>
        <w:t>stated</w:t>
      </w:r>
      <w:r w:rsidR="00207C7C">
        <w:rPr>
          <w:szCs w:val="18"/>
        </w:rPr>
        <w:t xml:space="preserve"> already back</w:t>
      </w:r>
      <w:r>
        <w:rPr>
          <w:szCs w:val="18"/>
        </w:rPr>
        <w:t xml:space="preserve"> in 2012</w:t>
      </w:r>
      <w:r w:rsidR="00F265E1">
        <w:rPr>
          <w:szCs w:val="18"/>
        </w:rPr>
        <w:t>,</w:t>
      </w:r>
      <w:r>
        <w:rPr>
          <w:szCs w:val="18"/>
        </w:rPr>
        <w:t xml:space="preserve"> that in the majority of cases the perpetrators of human rights violations are not brought to justice</w:t>
      </w:r>
      <w:r w:rsidRPr="00350CEB">
        <w:t>.</w:t>
      </w:r>
      <w:r w:rsidR="00F265E1" w:rsidRPr="00BA6D3C" w:rsidDel="00F265E1">
        <w:rPr>
          <w:rStyle w:val="EndnoteReference"/>
          <w:szCs w:val="18"/>
        </w:rPr>
        <w:t xml:space="preserve"> </w:t>
      </w:r>
      <w:r w:rsidRPr="00844B01">
        <w:t xml:space="preserve">The justice system has not only been ineffective in guaranteeing the right to justice of victims of human rights violations, it has also frequently been the target of government interference. </w:t>
      </w:r>
    </w:p>
    <w:p w14:paraId="5E4844E0" w14:textId="58C73054" w:rsidR="00247338" w:rsidRDefault="00247338" w:rsidP="00280BF2">
      <w:pPr>
        <w:pStyle w:val="AIBodyText"/>
        <w:jc w:val="both"/>
      </w:pPr>
      <w:r>
        <w:t>Over the past decade, Amnesty International and other</w:t>
      </w:r>
      <w:r w:rsidR="00033519">
        <w:t xml:space="preserve"> </w:t>
      </w:r>
      <w:r w:rsidR="00D86480">
        <w:t>non-governmental organizations</w:t>
      </w:r>
      <w:r>
        <w:t>, both national and international, as well as the Inter-American Commission on Human Rights and various UN human rights monitoring bodies have called on Venezuela to prioritize human rights protection in order to establish a robust rule of law in which judicial authorities can guarantee protection before the law for the entire population without discrimination.</w:t>
      </w:r>
    </w:p>
    <w:p w14:paraId="15871D32" w14:textId="0D8466EE" w:rsidR="00247338" w:rsidRPr="00811920" w:rsidRDefault="00247338" w:rsidP="00280BF2">
      <w:pPr>
        <w:pStyle w:val="AIBodyText"/>
        <w:jc w:val="both"/>
      </w:pPr>
      <w:r>
        <w:t xml:space="preserve">Venezuela has ignored these calls. </w:t>
      </w:r>
      <w:r w:rsidR="00A532E6">
        <w:t>Instead of</w:t>
      </w:r>
      <w:r>
        <w:t xml:space="preserve"> strengthening the rule of law and the protection of human rights it has taken steps that have helped undermine that protection. For example, in September 2013 </w:t>
      </w:r>
      <w:r w:rsidR="003328F8">
        <w:t xml:space="preserve">it </w:t>
      </w:r>
      <w:r>
        <w:t>denounced the American Convention of Human Rights</w:t>
      </w:r>
      <w:r w:rsidR="00A532E6">
        <w:t xml:space="preserve"> and withdr</w:t>
      </w:r>
      <w:r w:rsidR="00914A41">
        <w:t>ew</w:t>
      </w:r>
      <w:r>
        <w:t xml:space="preserve"> from the jurisdiction of the Inter-American Court of Human Rights, the final court of appeal and last hope for victims of human rights violations and their relatives seeking justice throughout the Americas. </w:t>
      </w:r>
    </w:p>
    <w:p w14:paraId="7B77B624" w14:textId="77777777" w:rsidR="00247338" w:rsidRPr="00811920" w:rsidRDefault="00247338" w:rsidP="00280BF2">
      <w:pPr>
        <w:pStyle w:val="AIBodyText"/>
        <w:jc w:val="both"/>
        <w:rPr>
          <w:i/>
          <w:color w:val="auto"/>
        </w:rPr>
      </w:pPr>
      <w:r w:rsidRPr="00811920">
        <w:rPr>
          <w:i/>
          <w:color w:val="auto"/>
        </w:rPr>
        <w:t>Excessive use of force</w:t>
      </w:r>
    </w:p>
    <w:p w14:paraId="3A937F03" w14:textId="6C95E6B9" w:rsidR="00247338" w:rsidRDefault="00247338" w:rsidP="00280BF2">
      <w:pPr>
        <w:pStyle w:val="AIBodyText"/>
        <w:jc w:val="both"/>
        <w:rPr>
          <w:color w:val="auto"/>
        </w:rPr>
      </w:pPr>
      <w:r w:rsidRPr="0005202A">
        <w:rPr>
          <w:color w:val="auto"/>
        </w:rPr>
        <w:t xml:space="preserve">The </w:t>
      </w:r>
      <w:r>
        <w:rPr>
          <w:color w:val="auto"/>
        </w:rPr>
        <w:t xml:space="preserve">authorities’ response to the </w:t>
      </w:r>
      <w:r w:rsidRPr="0005202A">
        <w:rPr>
          <w:color w:val="auto"/>
        </w:rPr>
        <w:t xml:space="preserve">wave of </w:t>
      </w:r>
      <w:r>
        <w:rPr>
          <w:color w:val="auto"/>
        </w:rPr>
        <w:t>demonstrations</w:t>
      </w:r>
      <w:r w:rsidRPr="0005202A">
        <w:rPr>
          <w:color w:val="auto"/>
        </w:rPr>
        <w:t xml:space="preserve"> </w:t>
      </w:r>
      <w:r>
        <w:rPr>
          <w:color w:val="auto"/>
        </w:rPr>
        <w:t>that</w:t>
      </w:r>
      <w:r w:rsidRPr="0005202A">
        <w:rPr>
          <w:color w:val="auto"/>
        </w:rPr>
        <w:t xml:space="preserve"> took place in 2014 showed once again that the government will not tolerate dissent or </w:t>
      </w:r>
      <w:r>
        <w:rPr>
          <w:color w:val="auto"/>
        </w:rPr>
        <w:t>protests criticizing</w:t>
      </w:r>
      <w:r w:rsidRPr="0005202A">
        <w:rPr>
          <w:color w:val="auto"/>
        </w:rPr>
        <w:t xml:space="preserve"> government policies. </w:t>
      </w:r>
      <w:r>
        <w:rPr>
          <w:color w:val="auto"/>
        </w:rPr>
        <w:t xml:space="preserve">Excessive use of force by the security forces and reports of torture and other ill-treatment are evidence of this. At no point during the protests or the past year have the authorities clearly and publicly signalled that abuses by state agents would not be tolerated despite the findings of investigations by the </w:t>
      </w:r>
      <w:r w:rsidR="00A33A53">
        <w:rPr>
          <w:color w:val="auto"/>
        </w:rPr>
        <w:t xml:space="preserve">Public Prosecutor’s </w:t>
      </w:r>
      <w:r w:rsidR="00F265E1">
        <w:rPr>
          <w:color w:val="auto"/>
        </w:rPr>
        <w:t>O</w:t>
      </w:r>
      <w:r w:rsidR="00A33A53">
        <w:rPr>
          <w:color w:val="auto"/>
        </w:rPr>
        <w:t xml:space="preserve">ffice </w:t>
      </w:r>
      <w:r>
        <w:rPr>
          <w:color w:val="auto"/>
        </w:rPr>
        <w:t>that the security forces used excessive force.</w:t>
      </w:r>
    </w:p>
    <w:p w14:paraId="477C5A59" w14:textId="5C61B5BD" w:rsidR="00247338" w:rsidRPr="0005202A" w:rsidRDefault="00247338" w:rsidP="00280BF2">
      <w:pPr>
        <w:pStyle w:val="AIBodyText"/>
        <w:jc w:val="both"/>
        <w:rPr>
          <w:color w:val="auto"/>
        </w:rPr>
      </w:pPr>
      <w:r>
        <w:rPr>
          <w:color w:val="auto"/>
        </w:rPr>
        <w:t xml:space="preserve">Indeed, far from showing a clear commitment to respect the right to </w:t>
      </w:r>
      <w:r w:rsidRPr="00033519">
        <w:rPr>
          <w:color w:val="auto"/>
        </w:rPr>
        <w:t>peaceful ass</w:t>
      </w:r>
      <w:r w:rsidR="00FA644C" w:rsidRPr="00033519">
        <w:rPr>
          <w:color w:val="auto"/>
        </w:rPr>
        <w:t xml:space="preserve">embly </w:t>
      </w:r>
      <w:r w:rsidRPr="00033519">
        <w:rPr>
          <w:color w:val="auto"/>
        </w:rPr>
        <w:t>the</w:t>
      </w:r>
      <w:r>
        <w:rPr>
          <w:color w:val="auto"/>
        </w:rPr>
        <w:t xml:space="preserve"> government issued Ministry of Defence Resolution 008610 </w:t>
      </w:r>
      <w:r w:rsidR="00E913AB">
        <w:rPr>
          <w:color w:val="auto"/>
        </w:rPr>
        <w:t xml:space="preserve">only recently </w:t>
      </w:r>
      <w:r>
        <w:rPr>
          <w:color w:val="auto"/>
        </w:rPr>
        <w:t>on 27 January 2015</w:t>
      </w:r>
      <w:r w:rsidR="00914A41">
        <w:rPr>
          <w:color w:val="auto"/>
        </w:rPr>
        <w:t xml:space="preserve">, allowing </w:t>
      </w:r>
      <w:r>
        <w:rPr>
          <w:color w:val="auto"/>
        </w:rPr>
        <w:t xml:space="preserve"> all sections of the armed forces to be deployed in public order operations, including the policing of public protests, and authoriz</w:t>
      </w:r>
      <w:r w:rsidR="00914A41">
        <w:rPr>
          <w:color w:val="auto"/>
        </w:rPr>
        <w:t>ing</w:t>
      </w:r>
      <w:r>
        <w:rPr>
          <w:color w:val="auto"/>
        </w:rPr>
        <w:t xml:space="preserve"> the use of firearms in such operations.</w:t>
      </w:r>
    </w:p>
    <w:p w14:paraId="08A2F462" w14:textId="0EB67A85" w:rsidR="00247338" w:rsidRDefault="00914A41" w:rsidP="003324DE">
      <w:pPr>
        <w:pStyle w:val="AIBodyText"/>
        <w:jc w:val="both"/>
        <w:rPr>
          <w:color w:val="auto"/>
        </w:rPr>
      </w:pPr>
      <w:r>
        <w:rPr>
          <w:color w:val="auto"/>
        </w:rPr>
        <w:t>Given the</w:t>
      </w:r>
      <w:r w:rsidRPr="00914A41">
        <w:rPr>
          <w:color w:val="auto"/>
        </w:rPr>
        <w:t xml:space="preserve"> </w:t>
      </w:r>
      <w:r>
        <w:rPr>
          <w:color w:val="auto"/>
        </w:rPr>
        <w:t xml:space="preserve">numerous serious human rights violations resulting from the excessive use of force by state agents, </w:t>
      </w:r>
      <w:r w:rsidR="00247338">
        <w:rPr>
          <w:color w:val="auto"/>
        </w:rPr>
        <w:t>considering using all sect</w:t>
      </w:r>
      <w:r w:rsidR="007643D4">
        <w:rPr>
          <w:color w:val="auto"/>
        </w:rPr>
        <w:t>ion</w:t>
      </w:r>
      <w:r w:rsidR="00247338">
        <w:rPr>
          <w:color w:val="auto"/>
        </w:rPr>
        <w:t xml:space="preserve">s of the armed forces in public order operations is </w:t>
      </w:r>
      <w:r w:rsidR="00FE4B33">
        <w:rPr>
          <w:color w:val="auto"/>
        </w:rPr>
        <w:t xml:space="preserve">of </w:t>
      </w:r>
      <w:r w:rsidR="00247338">
        <w:rPr>
          <w:color w:val="auto"/>
        </w:rPr>
        <w:t>grave concern</w:t>
      </w:r>
      <w:r>
        <w:rPr>
          <w:color w:val="auto"/>
        </w:rPr>
        <w:t>.</w:t>
      </w:r>
      <w:r w:rsidR="00247338">
        <w:rPr>
          <w:color w:val="auto"/>
        </w:rPr>
        <w:t xml:space="preserve"> International standards clearly state that the use of the armed forces for internal policing operations should be considered only in </w:t>
      </w:r>
      <w:r>
        <w:rPr>
          <w:color w:val="auto"/>
        </w:rPr>
        <w:t xml:space="preserve">clearly defined </w:t>
      </w:r>
      <w:r w:rsidR="00247338">
        <w:rPr>
          <w:color w:val="auto"/>
        </w:rPr>
        <w:t>exceptional circumstances</w:t>
      </w:r>
      <w:r w:rsidR="00E913AB">
        <w:rPr>
          <w:color w:val="auto"/>
        </w:rPr>
        <w:t xml:space="preserve">, and </w:t>
      </w:r>
      <w:r w:rsidR="00247338">
        <w:rPr>
          <w:color w:val="auto"/>
        </w:rPr>
        <w:t xml:space="preserve"> that should such deployments take place, excessive force </w:t>
      </w:r>
      <w:r w:rsidR="00E913AB">
        <w:rPr>
          <w:color w:val="auto"/>
        </w:rPr>
        <w:t>must not be used and</w:t>
      </w:r>
      <w:r w:rsidR="00247338">
        <w:rPr>
          <w:color w:val="auto"/>
        </w:rPr>
        <w:t xml:space="preserve"> the right to life and physical integrity </w:t>
      </w:r>
      <w:r w:rsidR="00E913AB">
        <w:rPr>
          <w:color w:val="auto"/>
        </w:rPr>
        <w:t xml:space="preserve">must be </w:t>
      </w:r>
      <w:r w:rsidR="00247338">
        <w:rPr>
          <w:color w:val="auto"/>
        </w:rPr>
        <w:t>respected at all times.</w:t>
      </w:r>
    </w:p>
    <w:p w14:paraId="6E86043A" w14:textId="6CF7383B" w:rsidR="00247338" w:rsidRDefault="00FE4B33" w:rsidP="003324DE">
      <w:pPr>
        <w:pStyle w:val="AIBodyText"/>
        <w:jc w:val="both"/>
        <w:rPr>
          <w:color w:val="auto"/>
        </w:rPr>
      </w:pPr>
      <w:r>
        <w:rPr>
          <w:color w:val="auto"/>
        </w:rPr>
        <w:t xml:space="preserve">Instead of </w:t>
      </w:r>
      <w:r w:rsidR="00207C7C">
        <w:rPr>
          <w:color w:val="auto"/>
        </w:rPr>
        <w:t>sending a</w:t>
      </w:r>
      <w:r w:rsidR="00247338">
        <w:rPr>
          <w:color w:val="auto"/>
        </w:rPr>
        <w:t xml:space="preserve"> clear </w:t>
      </w:r>
      <w:r w:rsidR="00207C7C">
        <w:rPr>
          <w:color w:val="auto"/>
        </w:rPr>
        <w:t xml:space="preserve">message </w:t>
      </w:r>
      <w:r w:rsidR="00247338">
        <w:rPr>
          <w:color w:val="auto"/>
        </w:rPr>
        <w:t xml:space="preserve">condemning </w:t>
      </w:r>
      <w:r w:rsidR="00207C7C">
        <w:rPr>
          <w:color w:val="auto"/>
        </w:rPr>
        <w:t xml:space="preserve">human </w:t>
      </w:r>
      <w:r w:rsidR="00BA6D3C">
        <w:rPr>
          <w:color w:val="auto"/>
        </w:rPr>
        <w:t>rights violations</w:t>
      </w:r>
      <w:r w:rsidR="00247338">
        <w:rPr>
          <w:color w:val="auto"/>
        </w:rPr>
        <w:t xml:space="preserve">, the authorities have continued to seek to justify the unlawful actions of the security forces in the name of public </w:t>
      </w:r>
      <w:r w:rsidR="00247338">
        <w:rPr>
          <w:color w:val="auto"/>
        </w:rPr>
        <w:lastRenderedPageBreak/>
        <w:t>order and security and of political stability.</w:t>
      </w:r>
    </w:p>
    <w:p w14:paraId="265D20DB" w14:textId="0987045B" w:rsidR="00247338" w:rsidRPr="005D309D" w:rsidRDefault="007643D4" w:rsidP="003324DE">
      <w:pPr>
        <w:pStyle w:val="AIBodyText"/>
        <w:jc w:val="both"/>
        <w:rPr>
          <w:color w:val="auto"/>
        </w:rPr>
      </w:pPr>
      <w:r>
        <w:rPr>
          <w:color w:val="auto"/>
        </w:rPr>
        <w:t>Fourteen</w:t>
      </w:r>
      <w:r w:rsidRPr="005D309D">
        <w:rPr>
          <w:color w:val="auto"/>
        </w:rPr>
        <w:t>-year-old</w:t>
      </w:r>
      <w:r w:rsidRPr="005D309D">
        <w:rPr>
          <w:rFonts w:cs="Arial"/>
        </w:rPr>
        <w:t xml:space="preserve"> </w:t>
      </w:r>
      <w:proofErr w:type="spellStart"/>
      <w:r w:rsidRPr="005D309D">
        <w:rPr>
          <w:color w:val="auto"/>
          <w:szCs w:val="18"/>
        </w:rPr>
        <w:t>Kluiberth</w:t>
      </w:r>
      <w:proofErr w:type="spellEnd"/>
      <w:r w:rsidRPr="005D309D">
        <w:rPr>
          <w:color w:val="auto"/>
          <w:szCs w:val="18"/>
        </w:rPr>
        <w:t xml:space="preserve"> </w:t>
      </w:r>
      <w:proofErr w:type="spellStart"/>
      <w:r w:rsidRPr="005D309D">
        <w:rPr>
          <w:color w:val="auto"/>
          <w:szCs w:val="18"/>
        </w:rPr>
        <w:t>Roa</w:t>
      </w:r>
      <w:proofErr w:type="spellEnd"/>
      <w:r w:rsidRPr="005D309D">
        <w:rPr>
          <w:color w:val="auto"/>
        </w:rPr>
        <w:t xml:space="preserve"> </w:t>
      </w:r>
      <w:proofErr w:type="spellStart"/>
      <w:r w:rsidRPr="005D309D">
        <w:rPr>
          <w:color w:val="auto"/>
        </w:rPr>
        <w:t>Núñez</w:t>
      </w:r>
      <w:proofErr w:type="spellEnd"/>
      <w:r w:rsidRPr="005D309D">
        <w:rPr>
          <w:color w:val="auto"/>
        </w:rPr>
        <w:t xml:space="preserve"> died after being hit by a rubber bullet fired by national police in Táchira State</w:t>
      </w:r>
      <w:r w:rsidRPr="005D309D">
        <w:rPr>
          <w:rFonts w:cs="Arial"/>
        </w:rPr>
        <w:t xml:space="preserve"> </w:t>
      </w:r>
      <w:r w:rsidR="00FE4B33">
        <w:rPr>
          <w:rFonts w:cs="Arial"/>
        </w:rPr>
        <w:t xml:space="preserve">a few weeks ago </w:t>
      </w:r>
      <w:r>
        <w:rPr>
          <w:rFonts w:cs="Arial"/>
        </w:rPr>
        <w:t>o</w:t>
      </w:r>
      <w:r w:rsidR="00247338" w:rsidRPr="005D309D">
        <w:rPr>
          <w:rFonts w:cs="Arial"/>
        </w:rPr>
        <w:t>n 24 February</w:t>
      </w:r>
      <w:r>
        <w:rPr>
          <w:rFonts w:cs="Arial"/>
        </w:rPr>
        <w:t xml:space="preserve"> </w:t>
      </w:r>
      <w:r w:rsidR="00247338" w:rsidRPr="005D309D">
        <w:rPr>
          <w:rFonts w:cs="Arial"/>
        </w:rPr>
        <w:t xml:space="preserve">2015, a month after Resolution </w:t>
      </w:r>
      <w:r w:rsidR="00247338" w:rsidRPr="005D309D">
        <w:rPr>
          <w:color w:val="auto"/>
        </w:rPr>
        <w:t>008610 was issued. He was walking near a protest when the security forces open</w:t>
      </w:r>
      <w:r w:rsidR="00247338">
        <w:rPr>
          <w:color w:val="auto"/>
        </w:rPr>
        <w:t>e</w:t>
      </w:r>
      <w:r w:rsidR="00247338" w:rsidRPr="005D309D">
        <w:rPr>
          <w:color w:val="auto"/>
        </w:rPr>
        <w:t>d fire on demonstrators wh</w:t>
      </w:r>
      <w:r w:rsidR="00247338">
        <w:rPr>
          <w:color w:val="auto"/>
        </w:rPr>
        <w:t>o had been throwing stones and M</w:t>
      </w:r>
      <w:r w:rsidR="00247338" w:rsidRPr="005D309D">
        <w:rPr>
          <w:color w:val="auto"/>
        </w:rPr>
        <w:t>olotov cocktails.</w:t>
      </w:r>
      <w:r w:rsidR="00247338" w:rsidRPr="005D309D">
        <w:rPr>
          <w:rFonts w:cs="Arial"/>
          <w:color w:val="auto"/>
        </w:rPr>
        <w:t xml:space="preserve"> His death sparked student protests in </w:t>
      </w:r>
      <w:r w:rsidR="00247338" w:rsidRPr="005D309D">
        <w:rPr>
          <w:color w:val="auto"/>
        </w:rPr>
        <w:t xml:space="preserve">Mérida </w:t>
      </w:r>
      <w:r w:rsidR="00247338" w:rsidRPr="005D309D">
        <w:rPr>
          <w:rFonts w:cs="Arial"/>
          <w:color w:val="auto"/>
        </w:rPr>
        <w:t>the following day during which five students were shot and injured, reportedly by members of the security forces.</w:t>
      </w:r>
    </w:p>
    <w:p w14:paraId="5DC227BB" w14:textId="77777777" w:rsidR="00247338" w:rsidRPr="00E01E75" w:rsidRDefault="00247338" w:rsidP="003324DE">
      <w:pPr>
        <w:pStyle w:val="AIBodyText"/>
        <w:jc w:val="both"/>
        <w:rPr>
          <w:i/>
          <w:szCs w:val="18"/>
        </w:rPr>
      </w:pPr>
      <w:r w:rsidRPr="00E01E75">
        <w:rPr>
          <w:i/>
          <w:szCs w:val="18"/>
        </w:rPr>
        <w:t>Torture and other cruel, inhuman or degrading treatment</w:t>
      </w:r>
    </w:p>
    <w:p w14:paraId="7C7B1748" w14:textId="37358DF6" w:rsidR="00247338" w:rsidRPr="00E01E75" w:rsidRDefault="00914A41" w:rsidP="003324DE">
      <w:pPr>
        <w:pStyle w:val="AIBodyText"/>
      </w:pPr>
      <w:r>
        <w:t xml:space="preserve">Scores </w:t>
      </w:r>
      <w:r w:rsidR="00247338" w:rsidRPr="00E01E75">
        <w:t>of people were beaten, burned, subjected to sexual abuse and electric shocks and threatened with rape and death by law enfor</w:t>
      </w:r>
      <w:r w:rsidR="00E01E75">
        <w:t>c</w:t>
      </w:r>
      <w:r w:rsidR="00247338" w:rsidRPr="00E01E75">
        <w:t xml:space="preserve">ement officials during the protests. These violations </w:t>
      </w:r>
      <w:r w:rsidR="00033519" w:rsidRPr="00E01E75">
        <w:t>were inflicted</w:t>
      </w:r>
      <w:r w:rsidR="00247338" w:rsidRPr="00E01E75">
        <w:t xml:space="preserve"> on detainees at the time of arrest, during transfer to detention centre</w:t>
      </w:r>
      <w:r w:rsidR="00E01E75">
        <w:t>s</w:t>
      </w:r>
      <w:r w:rsidR="00247338" w:rsidRPr="00E01E75">
        <w:t xml:space="preserve"> and while in detention.</w:t>
      </w:r>
    </w:p>
    <w:p w14:paraId="19392A02" w14:textId="3FBF20C3" w:rsidR="00247338" w:rsidRPr="00E01E75" w:rsidRDefault="00247338" w:rsidP="003324DE">
      <w:pPr>
        <w:pStyle w:val="AIBodyText"/>
      </w:pPr>
      <w:r w:rsidRPr="00E01E75">
        <w:t>In the</w:t>
      </w:r>
      <w:r w:rsidR="00F265E1">
        <w:t xml:space="preserve"> </w:t>
      </w:r>
      <w:r w:rsidRPr="00E01E75">
        <w:t xml:space="preserve">cases </w:t>
      </w:r>
      <w:r w:rsidR="005F11F6">
        <w:t xml:space="preserve">documented by Amnesty International </w:t>
      </w:r>
      <w:r w:rsidR="00BA6D3C">
        <w:t xml:space="preserve">security forces ill-treated </w:t>
      </w:r>
      <w:r w:rsidRPr="00E01E75">
        <w:t>detainees in order to punish them for their participation, or alleged participation, in the protests; to coerce them into confessing to having committed crimes while they were taking part in the protests; or to obtain information in order to identify those who had taken part in or o</w:t>
      </w:r>
      <w:r w:rsidR="00E01E75">
        <w:t>r</w:t>
      </w:r>
      <w:r w:rsidRPr="00E01E75">
        <w:t xml:space="preserve">ganized anti-government protests. </w:t>
      </w:r>
    </w:p>
    <w:p w14:paraId="410D4427" w14:textId="77777777" w:rsidR="00247338" w:rsidRPr="00267D25" w:rsidRDefault="00247338" w:rsidP="003324DE">
      <w:pPr>
        <w:pStyle w:val="AIBodyText"/>
        <w:jc w:val="both"/>
        <w:rPr>
          <w:i/>
          <w:szCs w:val="18"/>
        </w:rPr>
      </w:pPr>
      <w:r w:rsidRPr="00267D25">
        <w:rPr>
          <w:i/>
          <w:szCs w:val="18"/>
        </w:rPr>
        <w:t>Arbitrary detention</w:t>
      </w:r>
    </w:p>
    <w:p w14:paraId="34FC5333" w14:textId="75C58DE2" w:rsidR="00247338" w:rsidRPr="000031AE" w:rsidRDefault="00247338" w:rsidP="000B7E87">
      <w:pPr>
        <w:pStyle w:val="AIBodyText"/>
        <w:jc w:val="both"/>
        <w:rPr>
          <w:szCs w:val="18"/>
        </w:rPr>
      </w:pPr>
      <w:r w:rsidRPr="00267D25">
        <w:rPr>
          <w:szCs w:val="18"/>
        </w:rPr>
        <w:t>After reviewing the evidence presented by the Public Prosecut</w:t>
      </w:r>
      <w:r w:rsidR="009C5717">
        <w:rPr>
          <w:szCs w:val="18"/>
        </w:rPr>
        <w:t>or’</w:t>
      </w:r>
      <w:r w:rsidR="00A33A53">
        <w:rPr>
          <w:szCs w:val="18"/>
        </w:rPr>
        <w:t xml:space="preserve">s </w:t>
      </w:r>
      <w:r w:rsidR="00FE4B33">
        <w:rPr>
          <w:szCs w:val="18"/>
        </w:rPr>
        <w:t>O</w:t>
      </w:r>
      <w:r w:rsidR="00A33A53">
        <w:rPr>
          <w:szCs w:val="18"/>
        </w:rPr>
        <w:t>ffice</w:t>
      </w:r>
      <w:r w:rsidR="009C5717">
        <w:rPr>
          <w:szCs w:val="18"/>
        </w:rPr>
        <w:t xml:space="preserve"> </w:t>
      </w:r>
      <w:r>
        <w:rPr>
          <w:szCs w:val="18"/>
        </w:rPr>
        <w:t xml:space="preserve">in </w:t>
      </w:r>
      <w:r w:rsidR="00033519">
        <w:rPr>
          <w:szCs w:val="18"/>
        </w:rPr>
        <w:t>five cases</w:t>
      </w:r>
      <w:r>
        <w:rPr>
          <w:szCs w:val="18"/>
        </w:rPr>
        <w:t xml:space="preserve"> of</w:t>
      </w:r>
      <w:r w:rsidRPr="00267D25">
        <w:rPr>
          <w:szCs w:val="18"/>
        </w:rPr>
        <w:t xml:space="preserve"> the 27 people who remain in detention, Amnesty International was able to confirm </w:t>
      </w:r>
      <w:r w:rsidR="00033519" w:rsidRPr="00267D25">
        <w:rPr>
          <w:szCs w:val="18"/>
        </w:rPr>
        <w:t>that these</w:t>
      </w:r>
      <w:r w:rsidR="00AC0C6E">
        <w:rPr>
          <w:szCs w:val="18"/>
        </w:rPr>
        <w:t xml:space="preserve"> five </w:t>
      </w:r>
      <w:r w:rsidRPr="00267D25">
        <w:rPr>
          <w:szCs w:val="18"/>
        </w:rPr>
        <w:t>ha</w:t>
      </w:r>
      <w:r w:rsidR="000B7E87">
        <w:rPr>
          <w:szCs w:val="18"/>
        </w:rPr>
        <w:t>ve</w:t>
      </w:r>
      <w:r w:rsidRPr="00267D25">
        <w:rPr>
          <w:szCs w:val="18"/>
        </w:rPr>
        <w:t xml:space="preserve"> been arbitrarily detained</w:t>
      </w:r>
      <w:r w:rsidR="000B7E87">
        <w:rPr>
          <w:szCs w:val="18"/>
        </w:rPr>
        <w:t>. They are facing trial despite the absence of credible evidence to support the charges brought against them and some were detained with no arrest warrant</w:t>
      </w:r>
      <w:r w:rsidR="00FE4B33">
        <w:rPr>
          <w:szCs w:val="18"/>
        </w:rPr>
        <w:t>.</w:t>
      </w:r>
    </w:p>
    <w:p w14:paraId="4F10ACDC" w14:textId="3B8295D3" w:rsidR="00247338" w:rsidRPr="000274B2" w:rsidRDefault="00914A41" w:rsidP="003324DE">
      <w:pPr>
        <w:pStyle w:val="AIBodyText"/>
        <w:jc w:val="both"/>
        <w:rPr>
          <w:szCs w:val="18"/>
        </w:rPr>
      </w:pPr>
      <w:r>
        <w:rPr>
          <w:szCs w:val="18"/>
        </w:rPr>
        <w:t xml:space="preserve">Not only have those arbitrarily detained since 2014 not been released yet, </w:t>
      </w:r>
      <w:r w:rsidR="00033519">
        <w:rPr>
          <w:szCs w:val="18"/>
        </w:rPr>
        <w:t xml:space="preserve">but </w:t>
      </w:r>
      <w:r w:rsidR="00033519" w:rsidRPr="000274B2">
        <w:rPr>
          <w:szCs w:val="18"/>
        </w:rPr>
        <w:t>people</w:t>
      </w:r>
      <w:r w:rsidR="00247338" w:rsidRPr="000274B2">
        <w:rPr>
          <w:szCs w:val="18"/>
        </w:rPr>
        <w:t xml:space="preserve"> </w:t>
      </w:r>
      <w:r w:rsidR="00AC0C6E">
        <w:rPr>
          <w:szCs w:val="18"/>
        </w:rPr>
        <w:t>continue</w:t>
      </w:r>
      <w:r w:rsidR="005F11F6">
        <w:rPr>
          <w:szCs w:val="18"/>
        </w:rPr>
        <w:t xml:space="preserve"> </w:t>
      </w:r>
      <w:r w:rsidR="00AC0C6E">
        <w:rPr>
          <w:szCs w:val="18"/>
        </w:rPr>
        <w:t xml:space="preserve">to </w:t>
      </w:r>
      <w:r w:rsidR="009C5717">
        <w:rPr>
          <w:szCs w:val="18"/>
        </w:rPr>
        <w:t>b</w:t>
      </w:r>
      <w:r w:rsidR="009B1A54">
        <w:rPr>
          <w:szCs w:val="18"/>
        </w:rPr>
        <w:t>e</w:t>
      </w:r>
      <w:r w:rsidR="00247338" w:rsidRPr="000274B2">
        <w:rPr>
          <w:szCs w:val="18"/>
        </w:rPr>
        <w:t xml:space="preserve"> imprisoned for their political views or for holding anti-government opinions.  </w:t>
      </w:r>
    </w:p>
    <w:p w14:paraId="4DC44BE3" w14:textId="3648F3E2" w:rsidR="00247338" w:rsidRPr="002919AA" w:rsidRDefault="00247338" w:rsidP="003324DE">
      <w:pPr>
        <w:pStyle w:val="AIBodyText"/>
        <w:jc w:val="both"/>
      </w:pPr>
      <w:r w:rsidRPr="002919AA">
        <w:rPr>
          <w:rFonts w:cs="Arial"/>
          <w:szCs w:val="18"/>
        </w:rPr>
        <w:t xml:space="preserve">Antonio </w:t>
      </w:r>
      <w:proofErr w:type="spellStart"/>
      <w:r w:rsidRPr="002919AA">
        <w:rPr>
          <w:rFonts w:cs="Arial"/>
          <w:szCs w:val="18"/>
        </w:rPr>
        <w:t>Ledezma</w:t>
      </w:r>
      <w:proofErr w:type="spellEnd"/>
      <w:r w:rsidRPr="002919AA">
        <w:rPr>
          <w:rFonts w:cs="Arial"/>
          <w:szCs w:val="18"/>
        </w:rPr>
        <w:t>, the Mayor of Caracas, was detained</w:t>
      </w:r>
      <w:r w:rsidRPr="002919AA">
        <w:rPr>
          <w:szCs w:val="18"/>
        </w:rPr>
        <w:t xml:space="preserve"> on 19 February</w:t>
      </w:r>
      <w:r w:rsidR="00FE4B33">
        <w:rPr>
          <w:szCs w:val="18"/>
        </w:rPr>
        <w:t xml:space="preserve"> </w:t>
      </w:r>
      <w:r w:rsidR="00207C7C">
        <w:rPr>
          <w:szCs w:val="18"/>
        </w:rPr>
        <w:t xml:space="preserve">2015 </w:t>
      </w:r>
      <w:r w:rsidR="00207C7C" w:rsidRPr="002919AA">
        <w:rPr>
          <w:szCs w:val="18"/>
        </w:rPr>
        <w:t>in</w:t>
      </w:r>
      <w:r w:rsidRPr="002919AA">
        <w:rPr>
          <w:szCs w:val="18"/>
        </w:rPr>
        <w:t xml:space="preserve"> circumstances suggesting that his arrest was politically motivated</w:t>
      </w:r>
      <w:r w:rsidRPr="002919AA">
        <w:rPr>
          <w:rFonts w:cs="Arial"/>
          <w:szCs w:val="18"/>
        </w:rPr>
        <w:t>. According to the Venezuelan Mayors’ Association</w:t>
      </w:r>
      <w:r w:rsidRPr="002919AA">
        <w:rPr>
          <w:szCs w:val="18"/>
        </w:rPr>
        <w:t xml:space="preserve">, at the end of February 2015, 33 of the 73 mayors belonging to opposition parties were </w:t>
      </w:r>
      <w:r w:rsidR="009B1A54" w:rsidRPr="00A532E6">
        <w:rPr>
          <w:szCs w:val="18"/>
        </w:rPr>
        <w:t>facing legal proceedings</w:t>
      </w:r>
      <w:r w:rsidRPr="00A532E6">
        <w:rPr>
          <w:szCs w:val="18"/>
        </w:rPr>
        <w:t>.</w:t>
      </w:r>
    </w:p>
    <w:p w14:paraId="7EA026BE" w14:textId="321DF3EE" w:rsidR="00247338" w:rsidRPr="00E52EE3" w:rsidRDefault="00247338" w:rsidP="003324DE">
      <w:pPr>
        <w:pStyle w:val="AIBodyText"/>
        <w:jc w:val="both"/>
        <w:rPr>
          <w:rFonts w:cs="Arial"/>
          <w:color w:val="auto"/>
          <w:szCs w:val="18"/>
        </w:rPr>
      </w:pPr>
      <w:r w:rsidRPr="00A56142">
        <w:rPr>
          <w:rFonts w:cs="Arial"/>
          <w:color w:val="auto"/>
          <w:szCs w:val="18"/>
        </w:rPr>
        <w:t xml:space="preserve">Judge </w:t>
      </w:r>
      <w:proofErr w:type="spellStart"/>
      <w:r w:rsidRPr="00A56142">
        <w:rPr>
          <w:rFonts w:cs="Arial"/>
          <w:color w:val="auto"/>
          <w:szCs w:val="18"/>
        </w:rPr>
        <w:t>Alí</w:t>
      </w:r>
      <w:proofErr w:type="spellEnd"/>
      <w:r w:rsidRPr="00A56142">
        <w:rPr>
          <w:rFonts w:cs="Arial"/>
          <w:color w:val="auto"/>
          <w:szCs w:val="18"/>
        </w:rPr>
        <w:t xml:space="preserve"> </w:t>
      </w:r>
      <w:proofErr w:type="spellStart"/>
      <w:r w:rsidRPr="00A56142">
        <w:rPr>
          <w:rFonts w:cs="Arial"/>
          <w:color w:val="auto"/>
          <w:szCs w:val="18"/>
        </w:rPr>
        <w:t>Fabricio</w:t>
      </w:r>
      <w:proofErr w:type="spellEnd"/>
      <w:r w:rsidRPr="00A56142">
        <w:rPr>
          <w:rFonts w:cs="Arial"/>
          <w:color w:val="auto"/>
          <w:szCs w:val="18"/>
        </w:rPr>
        <w:t xml:space="preserve"> Paredes </w:t>
      </w:r>
      <w:r w:rsidR="00914A41">
        <w:rPr>
          <w:rFonts w:cs="Arial"/>
          <w:color w:val="auto"/>
          <w:szCs w:val="18"/>
        </w:rPr>
        <w:t xml:space="preserve">was </w:t>
      </w:r>
      <w:r w:rsidR="00FE4B33">
        <w:rPr>
          <w:rFonts w:cs="Arial"/>
          <w:color w:val="auto"/>
          <w:szCs w:val="18"/>
        </w:rPr>
        <w:t xml:space="preserve">also </w:t>
      </w:r>
      <w:r w:rsidR="00914A41">
        <w:rPr>
          <w:rFonts w:cs="Arial"/>
          <w:color w:val="auto"/>
          <w:szCs w:val="18"/>
        </w:rPr>
        <w:t xml:space="preserve">detained </w:t>
      </w:r>
      <w:r w:rsidR="00FE4B33">
        <w:rPr>
          <w:rFonts w:cs="Arial"/>
          <w:color w:val="auto"/>
          <w:szCs w:val="18"/>
        </w:rPr>
        <w:t xml:space="preserve">recently </w:t>
      </w:r>
      <w:r w:rsidRPr="00A56142">
        <w:rPr>
          <w:rFonts w:cs="Arial"/>
          <w:color w:val="auto"/>
          <w:szCs w:val="18"/>
        </w:rPr>
        <w:t xml:space="preserve">on 10 February. His </w:t>
      </w:r>
      <w:r>
        <w:rPr>
          <w:rFonts w:cs="Arial"/>
          <w:color w:val="auto"/>
          <w:szCs w:val="18"/>
        </w:rPr>
        <w:t>arrest</w:t>
      </w:r>
      <w:r w:rsidRPr="00A56142">
        <w:rPr>
          <w:rFonts w:cs="Arial"/>
          <w:color w:val="auto"/>
          <w:szCs w:val="18"/>
        </w:rPr>
        <w:t xml:space="preserve"> appear</w:t>
      </w:r>
      <w:r w:rsidR="000B7E87">
        <w:rPr>
          <w:rFonts w:cs="Arial"/>
          <w:color w:val="auto"/>
          <w:szCs w:val="18"/>
        </w:rPr>
        <w:t>s</w:t>
      </w:r>
      <w:r w:rsidRPr="00A56142">
        <w:rPr>
          <w:rFonts w:cs="Arial"/>
          <w:color w:val="auto"/>
          <w:szCs w:val="18"/>
        </w:rPr>
        <w:t xml:space="preserve"> to be linked to a sentence he handed down in a high-profile case that did not conform to the wishes of the Attorney General. </w:t>
      </w:r>
      <w:r>
        <w:rPr>
          <w:rFonts w:cs="Arial"/>
          <w:color w:val="auto"/>
          <w:szCs w:val="18"/>
        </w:rPr>
        <w:t xml:space="preserve">Also of great concern </w:t>
      </w:r>
      <w:r w:rsidR="00033519">
        <w:rPr>
          <w:rFonts w:cs="Arial"/>
          <w:color w:val="auto"/>
          <w:szCs w:val="18"/>
        </w:rPr>
        <w:t>is the</w:t>
      </w:r>
      <w:r>
        <w:rPr>
          <w:rFonts w:cs="Arial"/>
          <w:color w:val="auto"/>
          <w:szCs w:val="18"/>
        </w:rPr>
        <w:t xml:space="preserve"> </w:t>
      </w:r>
      <w:r w:rsidR="00320C78">
        <w:rPr>
          <w:rFonts w:cs="Arial"/>
          <w:color w:val="auto"/>
          <w:szCs w:val="18"/>
        </w:rPr>
        <w:t xml:space="preserve">recent </w:t>
      </w:r>
      <w:r>
        <w:rPr>
          <w:rFonts w:cs="Arial"/>
          <w:color w:val="auto"/>
          <w:szCs w:val="18"/>
        </w:rPr>
        <w:t>detention</w:t>
      </w:r>
      <w:r w:rsidR="009B1A54">
        <w:rPr>
          <w:rFonts w:cs="Arial"/>
          <w:color w:val="auto"/>
          <w:szCs w:val="18"/>
        </w:rPr>
        <w:t xml:space="preserve"> </w:t>
      </w:r>
      <w:r w:rsidR="009B1A54" w:rsidRPr="00A56142">
        <w:rPr>
          <w:rFonts w:cs="Arial"/>
          <w:color w:val="auto"/>
          <w:szCs w:val="18"/>
        </w:rPr>
        <w:t>on 8 February</w:t>
      </w:r>
      <w:r>
        <w:rPr>
          <w:rFonts w:cs="Arial"/>
          <w:color w:val="auto"/>
          <w:szCs w:val="18"/>
        </w:rPr>
        <w:t xml:space="preserve"> of</w:t>
      </w:r>
      <w:r w:rsidRPr="00A56142">
        <w:rPr>
          <w:rFonts w:cs="Arial"/>
          <w:color w:val="auto"/>
          <w:szCs w:val="18"/>
        </w:rPr>
        <w:t xml:space="preserve"> </w:t>
      </w:r>
      <w:r w:rsidR="005F11F6">
        <w:rPr>
          <w:rFonts w:cs="Arial"/>
          <w:color w:val="auto"/>
          <w:szCs w:val="18"/>
        </w:rPr>
        <w:t xml:space="preserve">lawyer </w:t>
      </w:r>
      <w:proofErr w:type="spellStart"/>
      <w:r w:rsidRPr="00A56142">
        <w:rPr>
          <w:rFonts w:cs="Arial"/>
          <w:color w:val="auto"/>
          <w:szCs w:val="18"/>
        </w:rPr>
        <w:t>Tadeo</w:t>
      </w:r>
      <w:proofErr w:type="spellEnd"/>
      <w:r w:rsidRPr="00A56142">
        <w:rPr>
          <w:rFonts w:cs="Arial"/>
          <w:color w:val="auto"/>
          <w:szCs w:val="18"/>
        </w:rPr>
        <w:t xml:space="preserve"> </w:t>
      </w:r>
      <w:proofErr w:type="spellStart"/>
      <w:r w:rsidRPr="00A56142">
        <w:rPr>
          <w:rFonts w:cs="Arial"/>
          <w:color w:val="auto"/>
          <w:szCs w:val="18"/>
        </w:rPr>
        <w:t>Arriechi</w:t>
      </w:r>
      <w:proofErr w:type="spellEnd"/>
      <w:r w:rsidR="005F11F6">
        <w:rPr>
          <w:rFonts w:cs="Arial"/>
          <w:color w:val="auto"/>
          <w:szCs w:val="18"/>
        </w:rPr>
        <w:t xml:space="preserve"> </w:t>
      </w:r>
      <w:r w:rsidRPr="00A56142">
        <w:rPr>
          <w:rFonts w:cs="Arial"/>
          <w:color w:val="auto"/>
          <w:szCs w:val="18"/>
        </w:rPr>
        <w:t>apparently in reprisal for carrying out his duties and providing legal representation for a company accused of destabilizing the economy</w:t>
      </w:r>
      <w:r>
        <w:rPr>
          <w:rFonts w:cs="Arial"/>
          <w:color w:val="auto"/>
          <w:szCs w:val="18"/>
        </w:rPr>
        <w:t>.</w:t>
      </w:r>
    </w:p>
    <w:p w14:paraId="60FB3AB6" w14:textId="20DD10D9" w:rsidR="003324DE" w:rsidRPr="003324DE" w:rsidRDefault="003324DE" w:rsidP="003324DE">
      <w:pPr>
        <w:pStyle w:val="AIBodyText"/>
        <w:jc w:val="both"/>
        <w:rPr>
          <w:rFonts w:cs="Arial"/>
          <w:color w:val="auto"/>
          <w:szCs w:val="18"/>
        </w:rPr>
      </w:pPr>
      <w:r w:rsidRPr="003324DE">
        <w:rPr>
          <w:rFonts w:cs="Arial"/>
          <w:color w:val="auto"/>
          <w:szCs w:val="18"/>
        </w:rPr>
        <w:t>These detentions</w:t>
      </w:r>
      <w:r w:rsidR="00B03D8F">
        <w:rPr>
          <w:rFonts w:cs="Arial"/>
          <w:color w:val="auto"/>
          <w:szCs w:val="18"/>
        </w:rPr>
        <w:t xml:space="preserve"> clearly</w:t>
      </w:r>
      <w:r>
        <w:rPr>
          <w:rFonts w:cs="Arial"/>
          <w:color w:val="auto"/>
          <w:szCs w:val="18"/>
        </w:rPr>
        <w:t xml:space="preserve"> </w:t>
      </w:r>
      <w:r w:rsidR="00B03D8F">
        <w:rPr>
          <w:rFonts w:cs="Arial"/>
          <w:color w:val="auto"/>
          <w:szCs w:val="18"/>
        </w:rPr>
        <w:t xml:space="preserve">call into question </w:t>
      </w:r>
      <w:r w:rsidR="001871BB">
        <w:rPr>
          <w:rFonts w:cs="Arial"/>
          <w:color w:val="auto"/>
          <w:szCs w:val="18"/>
        </w:rPr>
        <w:t>the authorities’ lack of respect for dissenting views and</w:t>
      </w:r>
      <w:r w:rsidR="00B03D8F">
        <w:rPr>
          <w:rFonts w:cs="Arial"/>
          <w:color w:val="auto"/>
          <w:szCs w:val="18"/>
        </w:rPr>
        <w:t xml:space="preserve"> the independence of the judiciary, and illustrate</w:t>
      </w:r>
      <w:r>
        <w:rPr>
          <w:rFonts w:cs="Arial"/>
          <w:color w:val="auto"/>
          <w:szCs w:val="18"/>
        </w:rPr>
        <w:t xml:space="preserve"> the difficulties faced by </w:t>
      </w:r>
      <w:r w:rsidR="00641492">
        <w:rPr>
          <w:rFonts w:cs="Arial"/>
          <w:color w:val="auto"/>
          <w:szCs w:val="18"/>
        </w:rPr>
        <w:t>judges and lawyers</w:t>
      </w:r>
      <w:r>
        <w:rPr>
          <w:rFonts w:cs="Arial"/>
          <w:color w:val="auto"/>
          <w:szCs w:val="18"/>
        </w:rPr>
        <w:t xml:space="preserve"> in carrying out their professional duties. </w:t>
      </w:r>
    </w:p>
    <w:p w14:paraId="21084357" w14:textId="67BFB088" w:rsidR="003324DE" w:rsidRPr="000E3CEB" w:rsidRDefault="003324DE" w:rsidP="003324DE">
      <w:pPr>
        <w:pStyle w:val="AIBodyText"/>
        <w:jc w:val="both"/>
        <w:rPr>
          <w:szCs w:val="18"/>
        </w:rPr>
      </w:pPr>
      <w:r w:rsidRPr="000E3CEB">
        <w:rPr>
          <w:szCs w:val="18"/>
        </w:rPr>
        <w:t>Th</w:t>
      </w:r>
      <w:r w:rsidR="00320C78">
        <w:rPr>
          <w:szCs w:val="18"/>
        </w:rPr>
        <w:t>e</w:t>
      </w:r>
      <w:r w:rsidR="00033519">
        <w:rPr>
          <w:szCs w:val="18"/>
        </w:rPr>
        <w:t xml:space="preserve"> </w:t>
      </w:r>
      <w:r w:rsidRPr="000E3CEB">
        <w:rPr>
          <w:szCs w:val="18"/>
        </w:rPr>
        <w:t xml:space="preserve">report </w:t>
      </w:r>
      <w:r>
        <w:rPr>
          <w:szCs w:val="18"/>
        </w:rPr>
        <w:t xml:space="preserve">highlights </w:t>
      </w:r>
      <w:r w:rsidRPr="000E3CEB">
        <w:rPr>
          <w:szCs w:val="18"/>
        </w:rPr>
        <w:t xml:space="preserve">the manifest lack of commitment on the part of the authorities to end </w:t>
      </w:r>
      <w:r w:rsidRPr="000E3CEB">
        <w:rPr>
          <w:szCs w:val="18"/>
        </w:rPr>
        <w:lastRenderedPageBreak/>
        <w:t xml:space="preserve">impunity </w:t>
      </w:r>
      <w:r>
        <w:rPr>
          <w:szCs w:val="18"/>
        </w:rPr>
        <w:t>for</w:t>
      </w:r>
      <w:r w:rsidRPr="000E3CEB">
        <w:rPr>
          <w:szCs w:val="18"/>
        </w:rPr>
        <w:t xml:space="preserve"> grave </w:t>
      </w:r>
      <w:r w:rsidR="00207C7C" w:rsidRPr="000E3CEB">
        <w:rPr>
          <w:szCs w:val="18"/>
        </w:rPr>
        <w:t>violations committed</w:t>
      </w:r>
      <w:r w:rsidRPr="000E3CEB">
        <w:rPr>
          <w:szCs w:val="18"/>
        </w:rPr>
        <w:t xml:space="preserve"> a year ago and to ensure the protection of human rights for all, without discrimination and regardless of political </w:t>
      </w:r>
      <w:r w:rsidR="00222DE8">
        <w:rPr>
          <w:szCs w:val="18"/>
        </w:rPr>
        <w:t>affiliation</w:t>
      </w:r>
      <w:r>
        <w:rPr>
          <w:szCs w:val="18"/>
        </w:rPr>
        <w:t xml:space="preserve">. It concludes that this lack of commitment creates </w:t>
      </w:r>
      <w:r w:rsidRPr="000E3CEB">
        <w:rPr>
          <w:szCs w:val="18"/>
        </w:rPr>
        <w:t xml:space="preserve">a serious risk that the tragic events documented </w:t>
      </w:r>
      <w:r w:rsidR="001B1FB0">
        <w:rPr>
          <w:szCs w:val="18"/>
        </w:rPr>
        <w:t xml:space="preserve">by Amnesty </w:t>
      </w:r>
      <w:r w:rsidR="00033519">
        <w:rPr>
          <w:szCs w:val="18"/>
        </w:rPr>
        <w:t xml:space="preserve">International </w:t>
      </w:r>
      <w:r w:rsidR="00033519" w:rsidRPr="000E3CEB">
        <w:rPr>
          <w:szCs w:val="18"/>
        </w:rPr>
        <w:t>will</w:t>
      </w:r>
      <w:r w:rsidRPr="000E3CEB">
        <w:rPr>
          <w:szCs w:val="18"/>
        </w:rPr>
        <w:t xml:space="preserve"> be repeated, especially </w:t>
      </w:r>
      <w:r w:rsidR="009B1A54">
        <w:rPr>
          <w:szCs w:val="18"/>
        </w:rPr>
        <w:t>given the</w:t>
      </w:r>
      <w:r>
        <w:rPr>
          <w:szCs w:val="18"/>
        </w:rPr>
        <w:t xml:space="preserve"> context of </w:t>
      </w:r>
      <w:r w:rsidRPr="000E3CEB">
        <w:rPr>
          <w:szCs w:val="18"/>
        </w:rPr>
        <w:t xml:space="preserve">increasing social discontent. </w:t>
      </w:r>
    </w:p>
    <w:p w14:paraId="50C09DDF" w14:textId="4A69EEEF" w:rsidR="004A7FE3" w:rsidRPr="005F0168" w:rsidRDefault="00320C78" w:rsidP="00280BF2">
      <w:pPr>
        <w:jc w:val="both"/>
        <w:rPr>
          <w:color w:val="auto"/>
          <w:szCs w:val="18"/>
        </w:rPr>
      </w:pPr>
      <w:r>
        <w:rPr>
          <w:color w:val="auto"/>
          <w:szCs w:val="18"/>
        </w:rPr>
        <w:t>A</w:t>
      </w:r>
      <w:r w:rsidR="000871D2" w:rsidRPr="0045581A">
        <w:rPr>
          <w:color w:val="auto"/>
          <w:szCs w:val="18"/>
        </w:rPr>
        <w:t xml:space="preserve"> series </w:t>
      </w:r>
      <w:r w:rsidR="00033519" w:rsidRPr="0045581A">
        <w:rPr>
          <w:color w:val="auto"/>
          <w:szCs w:val="18"/>
        </w:rPr>
        <w:t xml:space="preserve">of </w:t>
      </w:r>
      <w:r w:rsidRPr="0045581A">
        <w:rPr>
          <w:color w:val="auto"/>
          <w:szCs w:val="18"/>
        </w:rPr>
        <w:t>concrete</w:t>
      </w:r>
      <w:r>
        <w:rPr>
          <w:color w:val="auto"/>
          <w:szCs w:val="18"/>
        </w:rPr>
        <w:t xml:space="preserve"> </w:t>
      </w:r>
      <w:r w:rsidRPr="0045581A">
        <w:rPr>
          <w:color w:val="auto"/>
          <w:szCs w:val="18"/>
        </w:rPr>
        <w:t>recommendations</w:t>
      </w:r>
      <w:r w:rsidR="000871D2" w:rsidRPr="0045581A">
        <w:rPr>
          <w:color w:val="auto"/>
          <w:szCs w:val="18"/>
        </w:rPr>
        <w:t xml:space="preserve"> </w:t>
      </w:r>
      <w:r w:rsidR="005F11F6">
        <w:rPr>
          <w:color w:val="auto"/>
          <w:szCs w:val="18"/>
        </w:rPr>
        <w:t xml:space="preserve">that must be </w:t>
      </w:r>
      <w:r w:rsidR="000871D2" w:rsidRPr="0045581A">
        <w:rPr>
          <w:color w:val="auto"/>
          <w:szCs w:val="18"/>
        </w:rPr>
        <w:t>implemented as a matter of urgency</w:t>
      </w:r>
      <w:r>
        <w:rPr>
          <w:color w:val="auto"/>
          <w:szCs w:val="18"/>
        </w:rPr>
        <w:t xml:space="preserve">, are </w:t>
      </w:r>
      <w:r w:rsidR="00BA6D3C">
        <w:rPr>
          <w:color w:val="auto"/>
          <w:szCs w:val="18"/>
        </w:rPr>
        <w:t>included</w:t>
      </w:r>
      <w:r>
        <w:rPr>
          <w:color w:val="auto"/>
          <w:szCs w:val="18"/>
        </w:rPr>
        <w:t xml:space="preserve"> in the last chapter.</w:t>
      </w:r>
      <w:r w:rsidR="00280BF2" w:rsidRPr="0045581A">
        <w:rPr>
          <w:color w:val="auto"/>
          <w:szCs w:val="18"/>
        </w:rPr>
        <w:t xml:space="preserve"> </w:t>
      </w:r>
      <w:r w:rsidR="000871D2" w:rsidRPr="0045581A">
        <w:rPr>
          <w:color w:val="auto"/>
          <w:szCs w:val="18"/>
        </w:rPr>
        <w:t xml:space="preserve">In particular, the Venezuelan </w:t>
      </w:r>
      <w:r w:rsidR="0045581A" w:rsidRPr="0045581A">
        <w:rPr>
          <w:color w:val="auto"/>
          <w:szCs w:val="18"/>
        </w:rPr>
        <w:t>authorities</w:t>
      </w:r>
      <w:r w:rsidR="000871D2" w:rsidRPr="0045581A">
        <w:rPr>
          <w:color w:val="auto"/>
          <w:szCs w:val="18"/>
        </w:rPr>
        <w:t xml:space="preserve"> must guarantee the right </w:t>
      </w:r>
      <w:r w:rsidR="00033519" w:rsidRPr="0045581A">
        <w:rPr>
          <w:color w:val="auto"/>
          <w:szCs w:val="18"/>
        </w:rPr>
        <w:t>to peaceful</w:t>
      </w:r>
      <w:r w:rsidR="0045581A" w:rsidRPr="0045581A">
        <w:rPr>
          <w:color w:val="auto"/>
          <w:szCs w:val="18"/>
        </w:rPr>
        <w:t xml:space="preserve"> assembly, and</w:t>
      </w:r>
      <w:r w:rsidR="000871D2" w:rsidRPr="0045581A">
        <w:rPr>
          <w:color w:val="auto"/>
          <w:szCs w:val="18"/>
        </w:rPr>
        <w:t xml:space="preserve"> the right </w:t>
      </w:r>
      <w:r w:rsidR="0045581A" w:rsidRPr="0045581A">
        <w:rPr>
          <w:color w:val="auto"/>
          <w:szCs w:val="18"/>
        </w:rPr>
        <w:t>of</w:t>
      </w:r>
      <w:r w:rsidR="000871D2" w:rsidRPr="0045581A">
        <w:rPr>
          <w:color w:val="auto"/>
          <w:szCs w:val="18"/>
        </w:rPr>
        <w:t xml:space="preserve"> victims of human rights violations to </w:t>
      </w:r>
      <w:r w:rsidR="0045581A" w:rsidRPr="0045581A">
        <w:rPr>
          <w:color w:val="auto"/>
          <w:szCs w:val="18"/>
        </w:rPr>
        <w:t>justice</w:t>
      </w:r>
      <w:r w:rsidR="000871D2" w:rsidRPr="0045581A">
        <w:rPr>
          <w:color w:val="auto"/>
          <w:szCs w:val="18"/>
        </w:rPr>
        <w:t xml:space="preserve"> and</w:t>
      </w:r>
      <w:r w:rsidR="005F11F6">
        <w:rPr>
          <w:color w:val="auto"/>
          <w:szCs w:val="18"/>
        </w:rPr>
        <w:t xml:space="preserve"> </w:t>
      </w:r>
      <w:r w:rsidR="0045581A" w:rsidRPr="0045581A">
        <w:rPr>
          <w:color w:val="auto"/>
          <w:szCs w:val="18"/>
        </w:rPr>
        <w:t>reparation</w:t>
      </w:r>
      <w:r w:rsidR="000871D2" w:rsidRPr="0045581A">
        <w:rPr>
          <w:color w:val="auto"/>
          <w:szCs w:val="18"/>
        </w:rPr>
        <w:t xml:space="preserve">. </w:t>
      </w:r>
      <w:r w:rsidR="004A7FE3" w:rsidRPr="005F0168">
        <w:rPr>
          <w:color w:val="auto"/>
          <w:szCs w:val="18"/>
        </w:rPr>
        <w:t>All those arbitrarily detained must be released without delay and the intimidation and harassment of tho</w:t>
      </w:r>
      <w:r w:rsidR="005F0168">
        <w:rPr>
          <w:color w:val="auto"/>
          <w:szCs w:val="18"/>
        </w:rPr>
        <w:t>se who report abuses –</w:t>
      </w:r>
      <w:r w:rsidR="004A7FE3" w:rsidRPr="005F0168">
        <w:rPr>
          <w:color w:val="auto"/>
          <w:szCs w:val="18"/>
        </w:rPr>
        <w:t xml:space="preserve"> whether victims, relatives, lawyers or human rights defenders – must end</w:t>
      </w:r>
      <w:r w:rsidR="00280BF2" w:rsidRPr="005F0168">
        <w:rPr>
          <w:color w:val="auto"/>
          <w:szCs w:val="18"/>
        </w:rPr>
        <w:t xml:space="preserve">. </w:t>
      </w:r>
      <w:r w:rsidR="004A7FE3" w:rsidRPr="005F0168">
        <w:rPr>
          <w:color w:val="auto"/>
          <w:szCs w:val="18"/>
        </w:rPr>
        <w:t>The authorities</w:t>
      </w:r>
      <w:r w:rsidR="00C87511" w:rsidRPr="005F0168">
        <w:rPr>
          <w:color w:val="auto"/>
          <w:szCs w:val="18"/>
        </w:rPr>
        <w:t xml:space="preserve"> </w:t>
      </w:r>
      <w:r>
        <w:rPr>
          <w:color w:val="auto"/>
          <w:szCs w:val="18"/>
        </w:rPr>
        <w:t>must</w:t>
      </w:r>
      <w:r w:rsidR="00C87511" w:rsidRPr="005F0168">
        <w:rPr>
          <w:color w:val="auto"/>
          <w:szCs w:val="18"/>
        </w:rPr>
        <w:t xml:space="preserve"> also refrain from using the armed fo</w:t>
      </w:r>
      <w:r w:rsidR="009B1A54">
        <w:rPr>
          <w:color w:val="auto"/>
          <w:szCs w:val="18"/>
        </w:rPr>
        <w:t>rces in public order operations,</w:t>
      </w:r>
      <w:r w:rsidR="00C87511" w:rsidRPr="005F0168">
        <w:rPr>
          <w:color w:val="auto"/>
          <w:szCs w:val="18"/>
        </w:rPr>
        <w:t xml:space="preserve"> except for </w:t>
      </w:r>
      <w:r w:rsidR="001B1FB0">
        <w:rPr>
          <w:color w:val="auto"/>
          <w:szCs w:val="18"/>
        </w:rPr>
        <w:t xml:space="preserve">clearly defined </w:t>
      </w:r>
      <w:r w:rsidR="00C87511" w:rsidRPr="005F0168">
        <w:rPr>
          <w:color w:val="auto"/>
          <w:szCs w:val="18"/>
        </w:rPr>
        <w:t>emergency situations</w:t>
      </w:r>
      <w:r w:rsidR="001B1FB0">
        <w:rPr>
          <w:color w:val="auto"/>
          <w:szCs w:val="18"/>
        </w:rPr>
        <w:t xml:space="preserve">; </w:t>
      </w:r>
      <w:r w:rsidR="00033519">
        <w:rPr>
          <w:color w:val="auto"/>
          <w:szCs w:val="18"/>
        </w:rPr>
        <w:t xml:space="preserve">and </w:t>
      </w:r>
      <w:r w:rsidR="00033519" w:rsidRPr="005F0168">
        <w:rPr>
          <w:color w:val="auto"/>
          <w:szCs w:val="18"/>
        </w:rPr>
        <w:t>must</w:t>
      </w:r>
      <w:r w:rsidR="00C87511" w:rsidRPr="005F0168">
        <w:rPr>
          <w:color w:val="auto"/>
          <w:szCs w:val="18"/>
        </w:rPr>
        <w:t xml:space="preserve"> ensure that the security forces </w:t>
      </w:r>
      <w:r w:rsidR="005F0168" w:rsidRPr="005F0168">
        <w:rPr>
          <w:color w:val="auto"/>
          <w:szCs w:val="18"/>
        </w:rPr>
        <w:t>act in accordance with the UN Basic</w:t>
      </w:r>
      <w:r w:rsidR="005F0168">
        <w:rPr>
          <w:color w:val="auto"/>
          <w:szCs w:val="18"/>
        </w:rPr>
        <w:t xml:space="preserve"> Principles on the Use of Force </w:t>
      </w:r>
      <w:r w:rsidR="005F0168" w:rsidRPr="005F0168">
        <w:rPr>
          <w:color w:val="auto"/>
          <w:szCs w:val="18"/>
        </w:rPr>
        <w:t>and Firearms by Law Enforcement Officials.</w:t>
      </w:r>
    </w:p>
    <w:p w14:paraId="1701D854" w14:textId="52BE53B4" w:rsidR="00A85B7F" w:rsidRPr="003B21E5" w:rsidRDefault="000D2C7F" w:rsidP="003B21E5">
      <w:pPr>
        <w:pStyle w:val="AIBodyText"/>
        <w:jc w:val="both"/>
        <w:rPr>
          <w:color w:val="auto"/>
        </w:rPr>
      </w:pPr>
      <w:r w:rsidRPr="001228E0">
        <w:rPr>
          <w:color w:val="auto"/>
        </w:rPr>
        <w:t xml:space="preserve">Amnesty </w:t>
      </w:r>
      <w:r w:rsidR="001228E0" w:rsidRPr="001228E0">
        <w:rPr>
          <w:color w:val="auto"/>
        </w:rPr>
        <w:t>International</w:t>
      </w:r>
      <w:r w:rsidR="0004365D" w:rsidRPr="001228E0">
        <w:rPr>
          <w:color w:val="auto"/>
        </w:rPr>
        <w:t xml:space="preserve"> is concerned that </w:t>
      </w:r>
      <w:r w:rsidR="001228E0" w:rsidRPr="001228E0">
        <w:rPr>
          <w:color w:val="auto"/>
        </w:rPr>
        <w:t xml:space="preserve">the level of violence will intensify and more lives will be lost </w:t>
      </w:r>
      <w:r w:rsidR="0004365D" w:rsidRPr="001228E0">
        <w:rPr>
          <w:color w:val="auto"/>
        </w:rPr>
        <w:t>unless the</w:t>
      </w:r>
      <w:r w:rsidR="001228E0">
        <w:rPr>
          <w:color w:val="auto"/>
        </w:rPr>
        <w:t xml:space="preserve"> Venezuelan government prioritiz</w:t>
      </w:r>
      <w:r w:rsidR="0004365D" w:rsidRPr="001228E0">
        <w:rPr>
          <w:color w:val="auto"/>
        </w:rPr>
        <w:t xml:space="preserve">es the </w:t>
      </w:r>
      <w:r w:rsidR="001228E0" w:rsidRPr="001228E0">
        <w:rPr>
          <w:color w:val="auto"/>
        </w:rPr>
        <w:t>protection</w:t>
      </w:r>
      <w:r w:rsidR="003B21E5">
        <w:rPr>
          <w:color w:val="auto"/>
        </w:rPr>
        <w:t xml:space="preserve"> of human rights</w:t>
      </w:r>
      <w:r w:rsidR="0004365D" w:rsidRPr="001228E0">
        <w:rPr>
          <w:color w:val="auto"/>
        </w:rPr>
        <w:t xml:space="preserve"> and </w:t>
      </w:r>
      <w:r w:rsidR="005F11F6">
        <w:rPr>
          <w:color w:val="auto"/>
        </w:rPr>
        <w:t xml:space="preserve">the executive </w:t>
      </w:r>
      <w:r w:rsidR="009B1A54" w:rsidRPr="001228E0">
        <w:rPr>
          <w:color w:val="auto"/>
        </w:rPr>
        <w:t xml:space="preserve">sends a clear </w:t>
      </w:r>
      <w:r w:rsidR="00BA6D3C" w:rsidRPr="001228E0">
        <w:rPr>
          <w:color w:val="auto"/>
        </w:rPr>
        <w:t>message that</w:t>
      </w:r>
      <w:r w:rsidR="001228E0" w:rsidRPr="001228E0">
        <w:rPr>
          <w:color w:val="auto"/>
        </w:rPr>
        <w:t xml:space="preserve"> </w:t>
      </w:r>
      <w:r w:rsidR="003B21E5" w:rsidRPr="001228E0">
        <w:rPr>
          <w:color w:val="auto"/>
        </w:rPr>
        <w:t>excessive</w:t>
      </w:r>
      <w:r w:rsidR="001228E0" w:rsidRPr="001228E0">
        <w:rPr>
          <w:color w:val="auto"/>
        </w:rPr>
        <w:t xml:space="preserve"> </w:t>
      </w:r>
      <w:r w:rsidR="003B21E5" w:rsidRPr="001228E0">
        <w:rPr>
          <w:color w:val="auto"/>
        </w:rPr>
        <w:t>use</w:t>
      </w:r>
      <w:r w:rsidR="001228E0" w:rsidRPr="001228E0">
        <w:rPr>
          <w:color w:val="auto"/>
        </w:rPr>
        <w:t xml:space="preserve"> of </w:t>
      </w:r>
      <w:r w:rsidR="003B21E5" w:rsidRPr="001228E0">
        <w:rPr>
          <w:color w:val="auto"/>
        </w:rPr>
        <w:t>force</w:t>
      </w:r>
      <w:r w:rsidR="001228E0" w:rsidRPr="001228E0">
        <w:rPr>
          <w:color w:val="auto"/>
        </w:rPr>
        <w:t xml:space="preserve"> by the security forces will not be tolerated. The </w:t>
      </w:r>
      <w:r w:rsidR="003B21E5" w:rsidRPr="001228E0">
        <w:rPr>
          <w:color w:val="auto"/>
        </w:rPr>
        <w:t>government</w:t>
      </w:r>
      <w:r w:rsidR="001228E0" w:rsidRPr="001228E0">
        <w:rPr>
          <w:color w:val="auto"/>
        </w:rPr>
        <w:t xml:space="preserve"> must also guarantee that protesters and dissidents will not be targeted. Without such a commitment, the rule of law will continue to be eroded</w:t>
      </w:r>
      <w:r w:rsidR="005F11F6">
        <w:rPr>
          <w:color w:val="auto"/>
        </w:rPr>
        <w:t>,</w:t>
      </w:r>
      <w:r w:rsidR="001228E0" w:rsidRPr="001228E0">
        <w:rPr>
          <w:color w:val="auto"/>
        </w:rPr>
        <w:t xml:space="preserve"> </w:t>
      </w:r>
      <w:r w:rsidR="00222DE8">
        <w:rPr>
          <w:color w:val="auto"/>
        </w:rPr>
        <w:t xml:space="preserve">potentially </w:t>
      </w:r>
      <w:r w:rsidR="009B1A54">
        <w:rPr>
          <w:color w:val="auto"/>
        </w:rPr>
        <w:t>putting everyone at risk of</w:t>
      </w:r>
      <w:r w:rsidR="001228E0" w:rsidRPr="001228E0">
        <w:rPr>
          <w:color w:val="auto"/>
        </w:rPr>
        <w:t xml:space="preserve"> </w:t>
      </w:r>
      <w:r w:rsidR="003B21E5">
        <w:rPr>
          <w:color w:val="auto"/>
        </w:rPr>
        <w:t xml:space="preserve">human </w:t>
      </w:r>
      <w:r w:rsidR="003B21E5" w:rsidRPr="001228E0">
        <w:rPr>
          <w:color w:val="auto"/>
        </w:rPr>
        <w:t>right</w:t>
      </w:r>
      <w:r w:rsidR="003B21E5">
        <w:rPr>
          <w:color w:val="auto"/>
        </w:rPr>
        <w:t>s</w:t>
      </w:r>
      <w:r w:rsidR="001228E0" w:rsidRPr="001228E0">
        <w:rPr>
          <w:color w:val="auto"/>
        </w:rPr>
        <w:t xml:space="preserve"> </w:t>
      </w:r>
      <w:r w:rsidR="003B21E5">
        <w:rPr>
          <w:color w:val="auto"/>
        </w:rPr>
        <w:t>v</w:t>
      </w:r>
      <w:r w:rsidR="003B21E5" w:rsidRPr="001228E0">
        <w:rPr>
          <w:color w:val="auto"/>
        </w:rPr>
        <w:t>iolations</w:t>
      </w:r>
      <w:r w:rsidR="001228E0" w:rsidRPr="001228E0">
        <w:rPr>
          <w:color w:val="auto"/>
        </w:rPr>
        <w:t>.</w:t>
      </w:r>
    </w:p>
    <w:sectPr w:rsidR="00A85B7F" w:rsidRPr="003B21E5">
      <w:footerReference w:type="default" r:id="rId8"/>
      <w:footnotePr>
        <w:pos w:val="beneathText"/>
      </w:footnotePr>
      <w:endnotePr>
        <w:numFmt w:val="decimal"/>
      </w:endnotePr>
      <w:pgSz w:w="11900" w:h="16837"/>
      <w:pgMar w:top="1701" w:right="2835" w:bottom="3402"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68C22" w14:textId="77777777" w:rsidR="00A532E6" w:rsidRDefault="00A532E6">
      <w:r>
        <w:separator/>
      </w:r>
    </w:p>
  </w:endnote>
  <w:endnote w:type="continuationSeparator" w:id="0">
    <w:p w14:paraId="50DD2D1C" w14:textId="77777777" w:rsidR="00A532E6" w:rsidRDefault="00A5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11A9B" w14:textId="6DD439DA" w:rsidR="00E52EE3" w:rsidRDefault="00E52EE3">
    <w:pPr>
      <w:pStyle w:val="Footer"/>
    </w:pPr>
    <w:r>
      <w:t>AMR 53/1239/2015</w:t>
    </w:r>
    <w:r>
      <w:tab/>
    </w:r>
    <w:r>
      <w:tab/>
      <w:t>Amnesty International March 2015</w:t>
    </w:r>
  </w:p>
  <w:p w14:paraId="21A18A05" w14:textId="77777777" w:rsidR="00E52EE3" w:rsidRDefault="00E52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07F99" w14:textId="77777777" w:rsidR="00A532E6" w:rsidRDefault="00A532E6">
      <w:r>
        <w:separator/>
      </w:r>
    </w:p>
  </w:footnote>
  <w:footnote w:type="continuationSeparator" w:id="0">
    <w:p w14:paraId="61659C5E" w14:textId="77777777" w:rsidR="00A532E6" w:rsidRDefault="00A53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nsid w:val="00000002"/>
    <w:multiLevelType w:val="multilevel"/>
    <w:tmpl w:val="79787F56"/>
    <w:numStyleLink w:val="AINumberedList"/>
  </w:abstractNum>
  <w:abstractNum w:abstractNumId="2">
    <w:nsid w:val="00000003"/>
    <w:multiLevelType w:val="multilevel"/>
    <w:tmpl w:val="5B58B218"/>
    <w:numStyleLink w:val="AIBulletList"/>
  </w:abstractNum>
  <w:abstractNum w:abstractNumId="3">
    <w:nsid w:val="000B5ECC"/>
    <w:multiLevelType w:val="multilevel"/>
    <w:tmpl w:val="5B58B218"/>
    <w:numStyleLink w:val="AIBulletList"/>
  </w:abstractNum>
  <w:abstractNum w:abstractNumId="4">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nsid w:val="07796BD6"/>
    <w:multiLevelType w:val="multilevel"/>
    <w:tmpl w:val="79787F56"/>
    <w:numStyleLink w:val="AINumberedList"/>
  </w:abstractNum>
  <w:abstractNum w:abstractNumId="7">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nsid w:val="129C273F"/>
    <w:multiLevelType w:val="multilevel"/>
    <w:tmpl w:val="5B58B218"/>
    <w:numStyleLink w:val="AIBulletList"/>
  </w:abstractNum>
  <w:abstractNum w:abstractNumId="1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nsid w:val="215B67B6"/>
    <w:multiLevelType w:val="multilevel"/>
    <w:tmpl w:val="79787F56"/>
    <w:numStyleLink w:val="AINumberedList"/>
  </w:abstractNum>
  <w:abstractNum w:abstractNumId="13">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nsid w:val="27133A5E"/>
    <w:multiLevelType w:val="multilevel"/>
    <w:tmpl w:val="5B58B218"/>
    <w:numStyleLink w:val="AIBulletList"/>
  </w:abstractNum>
  <w:abstractNum w:abstractNumId="16">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nsid w:val="2E87201C"/>
    <w:multiLevelType w:val="multilevel"/>
    <w:tmpl w:val="5B58B218"/>
    <w:numStyleLink w:val="AIBulletList"/>
  </w:abstractNum>
  <w:abstractNum w:abstractNumId="18">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nsid w:val="31943E62"/>
    <w:multiLevelType w:val="multilevel"/>
    <w:tmpl w:val="5B58B218"/>
    <w:numStyleLink w:val="AIBulletList"/>
  </w:abstractNum>
  <w:abstractNum w:abstractNumId="2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nsid w:val="456452DF"/>
    <w:multiLevelType w:val="multilevel"/>
    <w:tmpl w:val="5B58B218"/>
    <w:numStyleLink w:val="AIBulletList"/>
  </w:abstractNum>
  <w:abstractNum w:abstractNumId="23">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nsid w:val="4E1E12A2"/>
    <w:multiLevelType w:val="multilevel"/>
    <w:tmpl w:val="5B58B218"/>
    <w:numStyleLink w:val="AIBulletList"/>
  </w:abstractNum>
  <w:abstractNum w:abstractNumId="25">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nsid w:val="5A07084D"/>
    <w:multiLevelType w:val="multilevel"/>
    <w:tmpl w:val="5B58B218"/>
    <w:numStyleLink w:val="AIBulletList"/>
  </w:abstractNum>
  <w:abstractNum w:abstractNumId="29">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nsid w:val="76A44978"/>
    <w:multiLevelType w:val="multilevel"/>
    <w:tmpl w:val="5B58B218"/>
    <w:numStyleLink w:val="AIBulletList"/>
  </w:abstractNum>
  <w:abstractNum w:abstractNumId="35">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6"/>
  </w:num>
  <w:num w:numId="14">
    <w:abstractNumId w:val="16"/>
  </w:num>
  <w:num w:numId="15">
    <w:abstractNumId w:val="26"/>
  </w:num>
  <w:num w:numId="16">
    <w:abstractNumId w:val="30"/>
  </w:num>
  <w:num w:numId="17">
    <w:abstractNumId w:val="37"/>
  </w:num>
  <w:num w:numId="18">
    <w:abstractNumId w:val="29"/>
  </w:num>
  <w:num w:numId="19">
    <w:abstractNumId w:val="23"/>
  </w:num>
  <w:num w:numId="20">
    <w:abstractNumId w:val="21"/>
  </w:num>
  <w:num w:numId="21">
    <w:abstractNumId w:val="27"/>
  </w:num>
  <w:num w:numId="22">
    <w:abstractNumId w:val="33"/>
  </w:num>
  <w:num w:numId="23">
    <w:abstractNumId w:val="32"/>
  </w:num>
  <w:num w:numId="24">
    <w:abstractNumId w:val="11"/>
  </w:num>
  <w:num w:numId="25">
    <w:abstractNumId w:val="18"/>
  </w:num>
  <w:num w:numId="26">
    <w:abstractNumId w:val="38"/>
  </w:num>
  <w:num w:numId="27">
    <w:abstractNumId w:val="9"/>
  </w:num>
  <w:num w:numId="28">
    <w:abstractNumId w:val="28"/>
  </w:num>
  <w:num w:numId="29">
    <w:abstractNumId w:val="15"/>
  </w:num>
  <w:num w:numId="30">
    <w:abstractNumId w:val="35"/>
  </w:num>
  <w:num w:numId="31">
    <w:abstractNumId w:val="12"/>
  </w:num>
  <w:num w:numId="32">
    <w:abstractNumId w:val="31"/>
  </w:num>
  <w:num w:numId="33">
    <w:abstractNumId w:val="3"/>
  </w:num>
  <w:num w:numId="34">
    <w:abstractNumId w:val="34"/>
  </w:num>
  <w:num w:numId="35">
    <w:abstractNumId w:val="22"/>
  </w:num>
  <w:num w:numId="36">
    <w:abstractNumId w:val="39"/>
  </w:num>
  <w:num w:numId="37">
    <w:abstractNumId w:val="24"/>
  </w:num>
  <w:num w:numId="38">
    <w:abstractNumId w:val="17"/>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F2"/>
    <w:rsid w:val="0000500A"/>
    <w:rsid w:val="00013F07"/>
    <w:rsid w:val="00022540"/>
    <w:rsid w:val="00024D6C"/>
    <w:rsid w:val="00025B55"/>
    <w:rsid w:val="00032461"/>
    <w:rsid w:val="00033519"/>
    <w:rsid w:val="0004365D"/>
    <w:rsid w:val="0005202A"/>
    <w:rsid w:val="00062A30"/>
    <w:rsid w:val="000871D2"/>
    <w:rsid w:val="00092096"/>
    <w:rsid w:val="000A1AB5"/>
    <w:rsid w:val="000B0E17"/>
    <w:rsid w:val="000B28F3"/>
    <w:rsid w:val="000B7E87"/>
    <w:rsid w:val="000C4A53"/>
    <w:rsid w:val="000C6C1C"/>
    <w:rsid w:val="000D1D9A"/>
    <w:rsid w:val="000D2C7F"/>
    <w:rsid w:val="000F0007"/>
    <w:rsid w:val="001011BA"/>
    <w:rsid w:val="00103633"/>
    <w:rsid w:val="001151EC"/>
    <w:rsid w:val="0011579A"/>
    <w:rsid w:val="001228E0"/>
    <w:rsid w:val="00141655"/>
    <w:rsid w:val="00146883"/>
    <w:rsid w:val="001541A0"/>
    <w:rsid w:val="00162298"/>
    <w:rsid w:val="001624E1"/>
    <w:rsid w:val="00171FAA"/>
    <w:rsid w:val="00180B32"/>
    <w:rsid w:val="001871BB"/>
    <w:rsid w:val="00191FA0"/>
    <w:rsid w:val="001A1321"/>
    <w:rsid w:val="001B1FB0"/>
    <w:rsid w:val="001B6144"/>
    <w:rsid w:val="001C51CA"/>
    <w:rsid w:val="00207C7C"/>
    <w:rsid w:val="00221079"/>
    <w:rsid w:val="00222DE8"/>
    <w:rsid w:val="002451ED"/>
    <w:rsid w:val="00245655"/>
    <w:rsid w:val="00247338"/>
    <w:rsid w:val="00253532"/>
    <w:rsid w:val="00263312"/>
    <w:rsid w:val="002639C3"/>
    <w:rsid w:val="00271409"/>
    <w:rsid w:val="00280BF2"/>
    <w:rsid w:val="002A127E"/>
    <w:rsid w:val="002A4C7D"/>
    <w:rsid w:val="002B137E"/>
    <w:rsid w:val="002B604B"/>
    <w:rsid w:val="002C37B4"/>
    <w:rsid w:val="002C5F01"/>
    <w:rsid w:val="003067B4"/>
    <w:rsid w:val="003070EF"/>
    <w:rsid w:val="00315CAB"/>
    <w:rsid w:val="00320C78"/>
    <w:rsid w:val="0032154A"/>
    <w:rsid w:val="003324DE"/>
    <w:rsid w:val="003328F8"/>
    <w:rsid w:val="0034186D"/>
    <w:rsid w:val="00341F49"/>
    <w:rsid w:val="00350CEB"/>
    <w:rsid w:val="003521FA"/>
    <w:rsid w:val="0035327E"/>
    <w:rsid w:val="00392F11"/>
    <w:rsid w:val="003B21E5"/>
    <w:rsid w:val="003B4588"/>
    <w:rsid w:val="003C5D08"/>
    <w:rsid w:val="003E781B"/>
    <w:rsid w:val="004027CF"/>
    <w:rsid w:val="004262E6"/>
    <w:rsid w:val="0045581A"/>
    <w:rsid w:val="00464128"/>
    <w:rsid w:val="0047076A"/>
    <w:rsid w:val="00470A72"/>
    <w:rsid w:val="00483EE7"/>
    <w:rsid w:val="00483FA4"/>
    <w:rsid w:val="00492736"/>
    <w:rsid w:val="0049554E"/>
    <w:rsid w:val="004A2E46"/>
    <w:rsid w:val="004A7FE3"/>
    <w:rsid w:val="004B1B46"/>
    <w:rsid w:val="004B7A6C"/>
    <w:rsid w:val="004C0661"/>
    <w:rsid w:val="004C4E77"/>
    <w:rsid w:val="004E169F"/>
    <w:rsid w:val="004F0931"/>
    <w:rsid w:val="0051444C"/>
    <w:rsid w:val="0052511E"/>
    <w:rsid w:val="005260B6"/>
    <w:rsid w:val="00533EE6"/>
    <w:rsid w:val="00535B1B"/>
    <w:rsid w:val="005407DE"/>
    <w:rsid w:val="0054713E"/>
    <w:rsid w:val="00557EB7"/>
    <w:rsid w:val="00562015"/>
    <w:rsid w:val="0057249E"/>
    <w:rsid w:val="00574CC8"/>
    <w:rsid w:val="00577060"/>
    <w:rsid w:val="00580EE5"/>
    <w:rsid w:val="0059554B"/>
    <w:rsid w:val="005B4A41"/>
    <w:rsid w:val="005C3139"/>
    <w:rsid w:val="005D1A79"/>
    <w:rsid w:val="005E5D20"/>
    <w:rsid w:val="005E7207"/>
    <w:rsid w:val="005F0168"/>
    <w:rsid w:val="005F11F6"/>
    <w:rsid w:val="005F245F"/>
    <w:rsid w:val="005F3606"/>
    <w:rsid w:val="005F3994"/>
    <w:rsid w:val="00600864"/>
    <w:rsid w:val="00602F51"/>
    <w:rsid w:val="00640D32"/>
    <w:rsid w:val="00641492"/>
    <w:rsid w:val="00643C1A"/>
    <w:rsid w:val="0066172F"/>
    <w:rsid w:val="00670965"/>
    <w:rsid w:val="006768BF"/>
    <w:rsid w:val="00691C2A"/>
    <w:rsid w:val="00695D97"/>
    <w:rsid w:val="006B1EBF"/>
    <w:rsid w:val="006B2B70"/>
    <w:rsid w:val="006C16CE"/>
    <w:rsid w:val="00723001"/>
    <w:rsid w:val="00726498"/>
    <w:rsid w:val="00727A99"/>
    <w:rsid w:val="007321BD"/>
    <w:rsid w:val="0073379B"/>
    <w:rsid w:val="007643D4"/>
    <w:rsid w:val="0077060D"/>
    <w:rsid w:val="0077125B"/>
    <w:rsid w:val="00771940"/>
    <w:rsid w:val="0078045D"/>
    <w:rsid w:val="00786F3A"/>
    <w:rsid w:val="007B1AD9"/>
    <w:rsid w:val="007C7F1F"/>
    <w:rsid w:val="007D56A6"/>
    <w:rsid w:val="007E0910"/>
    <w:rsid w:val="007E7456"/>
    <w:rsid w:val="007F524A"/>
    <w:rsid w:val="0080103C"/>
    <w:rsid w:val="00811920"/>
    <w:rsid w:val="00826312"/>
    <w:rsid w:val="008337A9"/>
    <w:rsid w:val="00844B01"/>
    <w:rsid w:val="0086333C"/>
    <w:rsid w:val="00865824"/>
    <w:rsid w:val="00865E94"/>
    <w:rsid w:val="008A09CD"/>
    <w:rsid w:val="008B584E"/>
    <w:rsid w:val="008C3CA4"/>
    <w:rsid w:val="008D5315"/>
    <w:rsid w:val="008F0539"/>
    <w:rsid w:val="00905039"/>
    <w:rsid w:val="00914A41"/>
    <w:rsid w:val="0094778B"/>
    <w:rsid w:val="00947A19"/>
    <w:rsid w:val="0096112D"/>
    <w:rsid w:val="009624C7"/>
    <w:rsid w:val="00982544"/>
    <w:rsid w:val="009A7E2F"/>
    <w:rsid w:val="009B1A54"/>
    <w:rsid w:val="009B7BE6"/>
    <w:rsid w:val="009C1DF1"/>
    <w:rsid w:val="009C5717"/>
    <w:rsid w:val="009D430A"/>
    <w:rsid w:val="009F56FD"/>
    <w:rsid w:val="00A068B8"/>
    <w:rsid w:val="00A06B14"/>
    <w:rsid w:val="00A2699E"/>
    <w:rsid w:val="00A33A53"/>
    <w:rsid w:val="00A532E6"/>
    <w:rsid w:val="00A62A67"/>
    <w:rsid w:val="00A65A98"/>
    <w:rsid w:val="00A75017"/>
    <w:rsid w:val="00A85B7F"/>
    <w:rsid w:val="00A96E32"/>
    <w:rsid w:val="00AA189C"/>
    <w:rsid w:val="00AC0C6E"/>
    <w:rsid w:val="00B03D8F"/>
    <w:rsid w:val="00B072A2"/>
    <w:rsid w:val="00B4541C"/>
    <w:rsid w:val="00B512C4"/>
    <w:rsid w:val="00B52929"/>
    <w:rsid w:val="00B6765C"/>
    <w:rsid w:val="00B75FBA"/>
    <w:rsid w:val="00B77EDD"/>
    <w:rsid w:val="00BA6D3C"/>
    <w:rsid w:val="00BB0B88"/>
    <w:rsid w:val="00BB586B"/>
    <w:rsid w:val="00BC4C43"/>
    <w:rsid w:val="00BD5B66"/>
    <w:rsid w:val="00BE1F83"/>
    <w:rsid w:val="00BE797E"/>
    <w:rsid w:val="00BE7FD6"/>
    <w:rsid w:val="00C5605A"/>
    <w:rsid w:val="00C564CD"/>
    <w:rsid w:val="00C87511"/>
    <w:rsid w:val="00CA1F6D"/>
    <w:rsid w:val="00CA4292"/>
    <w:rsid w:val="00CB053B"/>
    <w:rsid w:val="00CB352F"/>
    <w:rsid w:val="00CB3802"/>
    <w:rsid w:val="00CC7E9D"/>
    <w:rsid w:val="00CE624C"/>
    <w:rsid w:val="00D072D2"/>
    <w:rsid w:val="00D2303B"/>
    <w:rsid w:val="00D26B22"/>
    <w:rsid w:val="00D3431C"/>
    <w:rsid w:val="00D35685"/>
    <w:rsid w:val="00D46933"/>
    <w:rsid w:val="00D54079"/>
    <w:rsid w:val="00D54BCD"/>
    <w:rsid w:val="00D649F2"/>
    <w:rsid w:val="00D7343E"/>
    <w:rsid w:val="00D85DA5"/>
    <w:rsid w:val="00D86480"/>
    <w:rsid w:val="00D90DAF"/>
    <w:rsid w:val="00DA33CE"/>
    <w:rsid w:val="00DE4B33"/>
    <w:rsid w:val="00DE6FAC"/>
    <w:rsid w:val="00DF0354"/>
    <w:rsid w:val="00E01E75"/>
    <w:rsid w:val="00E052FB"/>
    <w:rsid w:val="00E1436F"/>
    <w:rsid w:val="00E25D16"/>
    <w:rsid w:val="00E42145"/>
    <w:rsid w:val="00E4789E"/>
    <w:rsid w:val="00E47C2B"/>
    <w:rsid w:val="00E5133E"/>
    <w:rsid w:val="00E52EE3"/>
    <w:rsid w:val="00E63EFF"/>
    <w:rsid w:val="00E76320"/>
    <w:rsid w:val="00E913AB"/>
    <w:rsid w:val="00E91CDD"/>
    <w:rsid w:val="00EA5F1B"/>
    <w:rsid w:val="00EB6DC1"/>
    <w:rsid w:val="00ED48B1"/>
    <w:rsid w:val="00ED5C45"/>
    <w:rsid w:val="00EE443B"/>
    <w:rsid w:val="00EE5863"/>
    <w:rsid w:val="00EE66DA"/>
    <w:rsid w:val="00EF0FF2"/>
    <w:rsid w:val="00F10D98"/>
    <w:rsid w:val="00F15D23"/>
    <w:rsid w:val="00F16E1B"/>
    <w:rsid w:val="00F22D87"/>
    <w:rsid w:val="00F265E1"/>
    <w:rsid w:val="00F455D2"/>
    <w:rsid w:val="00F46AAC"/>
    <w:rsid w:val="00F528DB"/>
    <w:rsid w:val="00F61154"/>
    <w:rsid w:val="00F752A3"/>
    <w:rsid w:val="00F805FD"/>
    <w:rsid w:val="00F85AF9"/>
    <w:rsid w:val="00F86786"/>
    <w:rsid w:val="00F86800"/>
    <w:rsid w:val="00FA644C"/>
    <w:rsid w:val="00FD5BBC"/>
    <w:rsid w:val="00FE49CD"/>
    <w:rsid w:val="00FE4B33"/>
    <w:rsid w:val="00FF2A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DF6B1B"/>
  <w15:docId w15:val="{9B47C39B-6316-43C0-AF23-231568AF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BF2"/>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eastAsia="Times New Roma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eastAsia="Times New Roma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eastAsia="Times New Roma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rPr>
      <w:rFonts w:eastAsia="Times New Roman"/>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eastAsia="Times New Roma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rPr>
      <w:rFonts w:eastAsia="Times New Roman"/>
    </w:r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rPr>
      <w:rFonts w:eastAsia="Times New Roman"/>
    </w:rPr>
  </w:style>
  <w:style w:type="character" w:customStyle="1" w:styleId="FooterChar">
    <w:name w:val="Footer Char"/>
    <w:basedOn w:val="DefaultParagraphFont"/>
    <w:link w:val="Footer"/>
    <w:uiPriority w:val="99"/>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rPr>
      <w:rFonts w:eastAsia="Times New Roman"/>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eastAsia="Times New Roma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rsid w:val="005B4A41"/>
    <w:pPr>
      <w:spacing w:after="120"/>
    </w:pPr>
    <w:rPr>
      <w:rFonts w:eastAsia="Times New Roman"/>
      <w:sz w:val="16"/>
    </w:rPr>
  </w:style>
  <w:style w:type="character" w:customStyle="1" w:styleId="EndnoteTextChar">
    <w:name w:val="Endnote Text Char"/>
    <w:basedOn w:val="DefaultParagraphFont"/>
    <w:link w:val="EndnoteText"/>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rsid w:val="00E1436F"/>
    <w:pPr>
      <w:spacing w:after="120"/>
    </w:pPr>
    <w:rPr>
      <w:rFonts w:eastAsia="Times New Roman"/>
      <w:sz w:val="16"/>
    </w:rPr>
  </w:style>
  <w:style w:type="character" w:customStyle="1" w:styleId="FootnoteTextChar">
    <w:name w:val="Footnote Text Char"/>
    <w:basedOn w:val="DefaultParagraphFont"/>
    <w:link w:val="FootnoteText"/>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rPr>
      <w:rFonts w:eastAsia="Times New Roman"/>
    </w:rPr>
  </w:style>
  <w:style w:type="paragraph" w:styleId="TOC1">
    <w:name w:val="toc 1"/>
    <w:basedOn w:val="Normal"/>
    <w:next w:val="Normal"/>
    <w:semiHidden/>
    <w:rsid w:val="005C3139"/>
    <w:rPr>
      <w:rFonts w:eastAsia="Times New Roman"/>
    </w:rPr>
  </w:style>
  <w:style w:type="paragraph" w:styleId="TOC3">
    <w:name w:val="toc 3"/>
    <w:basedOn w:val="Normal"/>
    <w:next w:val="Normal"/>
    <w:semiHidden/>
    <w:rsid w:val="005C3139"/>
    <w:pPr>
      <w:ind w:left="360"/>
    </w:pPr>
    <w:rPr>
      <w:rFonts w:eastAsia="Times New Roman"/>
    </w:rPr>
  </w:style>
  <w:style w:type="paragraph" w:styleId="TOC4">
    <w:name w:val="toc 4"/>
    <w:basedOn w:val="Normal"/>
    <w:next w:val="Normal"/>
    <w:semiHidden/>
    <w:rsid w:val="005C3139"/>
    <w:pPr>
      <w:ind w:left="540"/>
    </w:pPr>
    <w:rPr>
      <w:rFonts w:eastAsia="Times New Roman"/>
    </w:rPr>
  </w:style>
  <w:style w:type="paragraph" w:styleId="TOC5">
    <w:name w:val="toc 5"/>
    <w:basedOn w:val="Normal"/>
    <w:next w:val="Normal"/>
    <w:semiHidden/>
    <w:rsid w:val="005C3139"/>
    <w:pPr>
      <w:ind w:left="720"/>
    </w:pPr>
    <w:rPr>
      <w:rFonts w:eastAsia="Times New Roman"/>
    </w:rPr>
  </w:style>
  <w:style w:type="paragraph" w:styleId="TOC6">
    <w:name w:val="toc 6"/>
    <w:basedOn w:val="Normal"/>
    <w:next w:val="Normal"/>
    <w:semiHidden/>
    <w:rsid w:val="005C3139"/>
    <w:pPr>
      <w:ind w:left="900"/>
    </w:pPr>
    <w:rPr>
      <w:rFonts w:eastAsia="Times New Roman"/>
    </w:rPr>
  </w:style>
  <w:style w:type="paragraph" w:styleId="TOC7">
    <w:name w:val="toc 7"/>
    <w:basedOn w:val="Normal"/>
    <w:next w:val="Normal"/>
    <w:semiHidden/>
    <w:rsid w:val="005C3139"/>
    <w:pPr>
      <w:ind w:left="1080"/>
    </w:pPr>
    <w:rPr>
      <w:rFonts w:eastAsia="Times New Roman"/>
    </w:rPr>
  </w:style>
  <w:style w:type="paragraph" w:styleId="TOC8">
    <w:name w:val="toc 8"/>
    <w:basedOn w:val="Normal"/>
    <w:next w:val="Normal"/>
    <w:semiHidden/>
    <w:rsid w:val="005C3139"/>
    <w:pPr>
      <w:ind w:left="1260"/>
    </w:pPr>
    <w:rPr>
      <w:rFonts w:eastAsia="Times New Roman"/>
    </w:rPr>
  </w:style>
  <w:style w:type="paragraph" w:styleId="TOC9">
    <w:name w:val="toc 9"/>
    <w:basedOn w:val="Normal"/>
    <w:next w:val="Normal"/>
    <w:semiHidden/>
    <w:rsid w:val="005C3139"/>
    <w:pPr>
      <w:ind w:left="1440"/>
    </w:pPr>
    <w:rPr>
      <w:rFonts w:eastAsia="Times New Roman"/>
    </w:r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Strong">
    <w:name w:val="Strong"/>
    <w:basedOn w:val="DefaultParagraphFont"/>
    <w:uiPriority w:val="22"/>
    <w:qFormat/>
    <w:locked/>
    <w:rsid w:val="00280BF2"/>
    <w:rPr>
      <w:b/>
      <w:bCs/>
    </w:rPr>
  </w:style>
  <w:style w:type="paragraph" w:styleId="BalloonText">
    <w:name w:val="Balloon Text"/>
    <w:basedOn w:val="Normal"/>
    <w:link w:val="BalloonTextChar"/>
    <w:rsid w:val="003C5D08"/>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3C5D08"/>
    <w:rPr>
      <w:rFonts w:ascii="Segoe UI" w:eastAsia="MS Mincho" w:hAnsi="Segoe UI" w:cs="Segoe UI"/>
      <w:color w:val="000000"/>
      <w:sz w:val="18"/>
      <w:szCs w:val="18"/>
      <w:lang w:eastAsia="ar-SA"/>
    </w:rPr>
  </w:style>
  <w:style w:type="character" w:styleId="CommentReference">
    <w:name w:val="annotation reference"/>
    <w:basedOn w:val="DefaultParagraphFont"/>
    <w:rsid w:val="007D56A6"/>
    <w:rPr>
      <w:sz w:val="16"/>
      <w:szCs w:val="16"/>
    </w:rPr>
  </w:style>
  <w:style w:type="paragraph" w:styleId="CommentText">
    <w:name w:val="annotation text"/>
    <w:basedOn w:val="Normal"/>
    <w:link w:val="CommentTextChar"/>
    <w:rsid w:val="007D56A6"/>
    <w:pPr>
      <w:spacing w:line="240" w:lineRule="auto"/>
    </w:pPr>
    <w:rPr>
      <w:sz w:val="20"/>
      <w:szCs w:val="20"/>
    </w:rPr>
  </w:style>
  <w:style w:type="character" w:customStyle="1" w:styleId="CommentTextChar">
    <w:name w:val="Comment Text Char"/>
    <w:basedOn w:val="DefaultParagraphFont"/>
    <w:link w:val="CommentText"/>
    <w:rsid w:val="007D56A6"/>
    <w:rPr>
      <w:rFonts w:ascii="Amnesty Trade Gothic" w:eastAsia="MS Mincho" w:hAnsi="Amnesty Trade Gothic"/>
      <w:color w:val="000000"/>
      <w:lang w:eastAsia="ar-SA"/>
    </w:rPr>
  </w:style>
  <w:style w:type="paragraph" w:styleId="CommentSubject">
    <w:name w:val="annotation subject"/>
    <w:basedOn w:val="CommentText"/>
    <w:next w:val="CommentText"/>
    <w:link w:val="CommentSubjectChar"/>
    <w:rsid w:val="007D56A6"/>
    <w:rPr>
      <w:b/>
      <w:bCs/>
    </w:rPr>
  </w:style>
  <w:style w:type="character" w:customStyle="1" w:styleId="CommentSubjectChar">
    <w:name w:val="Comment Subject Char"/>
    <w:basedOn w:val="CommentTextChar"/>
    <w:link w:val="CommentSubject"/>
    <w:rsid w:val="007D56A6"/>
    <w:rPr>
      <w:rFonts w:ascii="Amnesty Trade Gothic" w:eastAsia="MS Mincho" w:hAnsi="Amnesty Trade Gothic"/>
      <w:b/>
      <w:bC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320946">
      <w:bodyDiv w:val="1"/>
      <w:marLeft w:val="0"/>
      <w:marRight w:val="0"/>
      <w:marTop w:val="0"/>
      <w:marBottom w:val="0"/>
      <w:divBdr>
        <w:top w:val="none" w:sz="0" w:space="0" w:color="auto"/>
        <w:left w:val="none" w:sz="0" w:space="0" w:color="auto"/>
        <w:bottom w:val="none" w:sz="0" w:space="0" w:color="auto"/>
        <w:right w:val="none" w:sz="0" w:space="0" w:color="auto"/>
      </w:divBdr>
    </w:div>
    <w:div w:id="1710521763">
      <w:bodyDiv w:val="1"/>
      <w:marLeft w:val="0"/>
      <w:marRight w:val="0"/>
      <w:marTop w:val="0"/>
      <w:marBottom w:val="0"/>
      <w:divBdr>
        <w:top w:val="none" w:sz="0" w:space="0" w:color="auto"/>
        <w:left w:val="none" w:sz="0" w:space="0" w:color="auto"/>
        <w:bottom w:val="none" w:sz="0" w:space="0" w:color="auto"/>
        <w:right w:val="none" w:sz="0" w:space="0" w:color="auto"/>
      </w:divBdr>
    </w:div>
    <w:div w:id="1887135512">
      <w:bodyDiv w:val="1"/>
      <w:marLeft w:val="0"/>
      <w:marRight w:val="0"/>
      <w:marTop w:val="0"/>
      <w:marBottom w:val="0"/>
      <w:divBdr>
        <w:top w:val="none" w:sz="0" w:space="0" w:color="auto"/>
        <w:left w:val="none" w:sz="0" w:space="0" w:color="auto"/>
        <w:bottom w:val="none" w:sz="0" w:space="0" w:color="auto"/>
        <w:right w:val="none" w:sz="0" w:space="0" w:color="auto"/>
      </w:divBdr>
    </w:div>
    <w:div w:id="19544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10725-5757-4FC8-BD21-5F65EC3B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1679</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Amnesty International</Company>
  <LinksUpToDate>false</LinksUpToDate>
  <CharactersWithSpaces>10866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Guadalupe Marengo</dc:creator>
  <cp:keywords/>
  <dc:description/>
  <cp:lastModifiedBy>Guadalupe Marengo</cp:lastModifiedBy>
  <cp:revision>2</cp:revision>
  <cp:lastPrinted>2015-03-18T08:35:00Z</cp:lastPrinted>
  <dcterms:created xsi:type="dcterms:W3CDTF">2015-03-23T11:26:00Z</dcterms:created>
  <dcterms:modified xsi:type="dcterms:W3CDTF">2015-03-23T11:26:00Z</dcterms:modified>
</cp:coreProperties>
</file>