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1E9" w:rsidRPr="008570D3" w:rsidRDefault="00920751" w:rsidP="00B22405">
      <w:pPr>
        <w:pStyle w:val="PSBodyText"/>
        <w:spacing w:line="240" w:lineRule="auto"/>
        <w:rPr>
          <w:rFonts w:ascii="Amnesty Trade Gothic" w:hAnsi="Amnesty Trade Gothic"/>
          <w:color w:val="auto"/>
          <w:lang w:val="en-GB"/>
        </w:rPr>
      </w:pPr>
      <w:r>
        <w:rPr>
          <w:rFonts w:eastAsia="Amnesty Trade Gothic Light" w:cs="Amnesty Trade Gothic Light"/>
          <w:color w:val="auto"/>
          <w:szCs w:val="20"/>
          <w:bdr w:val="nil"/>
          <w:lang w:val="fr-FR"/>
        </w:rPr>
        <w:t xml:space="preserve">23 JANVIER 2019 </w:t>
      </w:r>
      <w:r w:rsidR="003B7D06">
        <w:rPr>
          <w:rFonts w:eastAsia="Amnesty Trade Gothic Light" w:cs="Amnesty Trade Gothic Light"/>
          <w:color w:val="auto"/>
          <w:szCs w:val="20"/>
          <w:bdr w:val="nil"/>
          <w:lang w:val="fr-FR"/>
        </w:rPr>
        <w:tab/>
      </w:r>
      <w:r w:rsidR="003B7D06">
        <w:rPr>
          <w:rFonts w:eastAsia="Amnesty Trade Gothic Light" w:cs="Amnesty Trade Gothic Light"/>
          <w:color w:val="auto"/>
          <w:szCs w:val="20"/>
          <w:bdr w:val="nil"/>
          <w:lang w:val="fr-FR"/>
        </w:rPr>
        <w:tab/>
      </w:r>
      <w:r>
        <w:rPr>
          <w:rFonts w:ascii="Amnesty Trade Gothic" w:eastAsia="Amnesty Trade Gothic" w:hAnsi="Amnesty Trade Gothic" w:cs="Amnesty Trade Gothic"/>
          <w:color w:val="444444"/>
          <w:szCs w:val="20"/>
          <w:bdr w:val="nil"/>
          <w:lang w:val="fr-FR"/>
        </w:rPr>
        <w:t>ASA 28/9723/2019</w:t>
      </w:r>
      <w:r w:rsidR="003B7D06">
        <w:rPr>
          <w:rFonts w:ascii="Amnesty Trade Gothic" w:eastAsia="Amnesty Trade Gothic" w:hAnsi="Amnesty Trade Gothic" w:cs="Amnesty Trade Gothic"/>
          <w:color w:val="444444"/>
          <w:szCs w:val="20"/>
          <w:bdr w:val="nil"/>
          <w:lang w:val="fr-FR"/>
        </w:rPr>
        <w:tab/>
      </w:r>
      <w:r w:rsidR="003B7D06">
        <w:rPr>
          <w:rFonts w:ascii="Amnesty Trade Gothic" w:eastAsia="Amnesty Trade Gothic" w:hAnsi="Amnesty Trade Gothic" w:cs="Amnesty Trade Gothic"/>
          <w:color w:val="444444"/>
          <w:szCs w:val="20"/>
          <w:bdr w:val="nil"/>
          <w:lang w:val="fr-FR"/>
        </w:rPr>
        <w:tab/>
        <w:t>AILRC-FR</w:t>
      </w:r>
    </w:p>
    <w:p w:rsidR="00184F46" w:rsidRPr="00CD4553" w:rsidRDefault="00920751" w:rsidP="00330889">
      <w:pPr>
        <w:pStyle w:val="PSTitle"/>
        <w:rPr>
          <w:color w:val="auto"/>
          <w:lang w:val="en-GB"/>
        </w:rPr>
      </w:pPr>
      <w:r>
        <w:rPr>
          <w:rFonts w:ascii="Amnesty Trade Gothic Cn" w:eastAsia="Amnesty Trade Gothic Cn" w:hAnsi="Amnesty Trade Gothic Cn" w:cs="Amnesty Trade Gothic Cn"/>
          <w:color w:val="000000"/>
          <w:bdr w:val="nil"/>
          <w:lang w:val="fr-FR"/>
        </w:rPr>
        <w:t xml:space="preserve">Malaisie. Les droits des peuples indigènes doivent être </w:t>
      </w:r>
      <w:r>
        <w:rPr>
          <w:rFonts w:ascii="Amnesty Trade Gothic Cn" w:eastAsia="Amnesty Trade Gothic Cn" w:hAnsi="Amnesty Trade Gothic Cn" w:cs="Amnesty Trade Gothic Cn"/>
          <w:color w:val="000000"/>
          <w:bdr w:val="nil"/>
          <w:lang w:val="fr-FR"/>
        </w:rPr>
        <w:t>pleinement reconnus et protégés</w:t>
      </w:r>
    </w:p>
    <w:p w:rsidR="00234ECF" w:rsidRPr="009A0E11" w:rsidRDefault="00234ECF" w:rsidP="003B7D06">
      <w:pPr>
        <w:pStyle w:val="PSBodyText"/>
        <w:tabs>
          <w:tab w:val="left" w:pos="2504"/>
        </w:tabs>
        <w:rPr>
          <w:rFonts w:asciiTheme="minorHAnsi" w:hAnsiTheme="minorHAnsi"/>
          <w:szCs w:val="20"/>
          <w:lang w:val="en-GB"/>
        </w:rPr>
      </w:pPr>
    </w:p>
    <w:p w:rsidR="005A1854" w:rsidRPr="009A0E11" w:rsidRDefault="00920751" w:rsidP="00872AF2">
      <w:pPr>
        <w:pStyle w:val="PSBodyText"/>
        <w:rPr>
          <w:rFonts w:asciiTheme="minorHAnsi" w:hAnsiTheme="minorHAnsi"/>
          <w:lang w:val="en-GB"/>
        </w:rPr>
      </w:pPr>
      <w:r>
        <w:rPr>
          <w:rFonts w:eastAsia="Amnesty Trade Gothic Light" w:cs="Amnesty Trade Gothic Light"/>
          <w:color w:val="000000"/>
          <w:szCs w:val="20"/>
          <w:bdr w:val="nil"/>
          <w:lang w:val="fr-FR"/>
        </w:rPr>
        <w:t>Amnesty International salue le fait que le gouvernement malaisien ait pris l’engagement de reconnaître et de protéger les droits des peuples aut</w:t>
      </w:r>
      <w:r>
        <w:rPr>
          <w:rFonts w:eastAsia="Amnesty Trade Gothic Light" w:cs="Amnesty Trade Gothic Light"/>
          <w:color w:val="000000"/>
          <w:szCs w:val="20"/>
          <w:bdr w:val="nil"/>
          <w:lang w:val="fr-FR"/>
        </w:rPr>
        <w:t>ochtones, et annoncé qu’il entendait examiner « sérieusement » les recommandations formulées par la Commission malaisienne des droits humains (SUHAKAM) au sujet des droits fonciers des autochtones. L'organisation appelle les autorités malaisiennes à saisir</w:t>
      </w:r>
      <w:r>
        <w:rPr>
          <w:rFonts w:eastAsia="Amnesty Trade Gothic Light" w:cs="Amnesty Trade Gothic Light"/>
          <w:color w:val="000000"/>
          <w:szCs w:val="20"/>
          <w:bdr w:val="nil"/>
          <w:lang w:val="fr-FR"/>
        </w:rPr>
        <w:t xml:space="preserve"> cette occasion pour adopter de vastes réformes afin de garantir le plein respect des droits des peuples autochtones dans tout le pays.</w:t>
      </w:r>
    </w:p>
    <w:p w:rsidR="00F16DD5" w:rsidRPr="009A0E11" w:rsidRDefault="00920751" w:rsidP="00820E56">
      <w:pPr>
        <w:pStyle w:val="PSBodyText"/>
        <w:rPr>
          <w:rFonts w:asciiTheme="minorHAnsi" w:hAnsiTheme="minorHAnsi"/>
          <w:lang w:val="en-GB"/>
        </w:rPr>
      </w:pPr>
      <w:r>
        <w:rPr>
          <w:rFonts w:eastAsia="Amnesty Trade Gothic Light" w:cs="Amnesty Trade Gothic Light"/>
          <w:color w:val="000000"/>
          <w:szCs w:val="20"/>
          <w:bdr w:val="nil"/>
          <w:lang w:val="fr-FR"/>
        </w:rPr>
        <w:t xml:space="preserve">Le 18 janvier 2019, le procureur général </w:t>
      </w:r>
      <w:r>
        <w:rPr>
          <w:rFonts w:eastAsia="Amnesty Trade Gothic Light" w:cs="Amnesty Trade Gothic Light"/>
          <w:color w:val="000000"/>
          <w:szCs w:val="20"/>
          <w:bdr w:val="nil"/>
          <w:lang w:val="fr-FR"/>
        </w:rPr>
        <w:t xml:space="preserve">de Malaisie, Tommy Thomas, a annoncé dans une déclaration que le gouvernement fédéral poursuivait l'État de Kelantan pour son incapacité à protéger les </w:t>
      </w:r>
      <w:r w:rsidRPr="003B7D06">
        <w:rPr>
          <w:rFonts w:eastAsia="Amnesty Trade Gothic Light" w:cs="Amnesty Trade Gothic Light"/>
          <w:i/>
          <w:color w:val="000000"/>
          <w:szCs w:val="20"/>
          <w:bdr w:val="nil"/>
          <w:lang w:val="fr-FR"/>
        </w:rPr>
        <w:t>Orang Asli</w:t>
      </w:r>
      <w:r>
        <w:rPr>
          <w:rFonts w:eastAsia="Amnesty Trade Gothic Light" w:cs="Amnesty Trade Gothic Light"/>
          <w:color w:val="000000"/>
          <w:szCs w:val="20"/>
          <w:bdr w:val="nil"/>
          <w:lang w:val="fr-FR"/>
        </w:rPr>
        <w:t xml:space="preserve"> (peuples autochtones de la Malaisie péninsulaire). Dans la même déclaration, le procureur gén</w:t>
      </w:r>
      <w:r>
        <w:rPr>
          <w:rFonts w:eastAsia="Amnesty Trade Gothic Light" w:cs="Amnesty Trade Gothic Light"/>
          <w:color w:val="000000"/>
          <w:szCs w:val="20"/>
          <w:bdr w:val="nil"/>
          <w:lang w:val="fr-FR"/>
        </w:rPr>
        <w:t xml:space="preserve">éral a reconnu qu'il était temps que la Malaisie « rejoigne les rangs des nations qui reconnaissent et protègent les droits de nos </w:t>
      </w:r>
      <w:r w:rsidRPr="003B7D06">
        <w:rPr>
          <w:rFonts w:eastAsia="Amnesty Trade Gothic Light" w:cs="Amnesty Trade Gothic Light"/>
          <w:i/>
          <w:color w:val="000000"/>
          <w:szCs w:val="20"/>
          <w:bdr w:val="nil"/>
          <w:lang w:val="fr-FR"/>
        </w:rPr>
        <w:t>Orang Asli</w:t>
      </w:r>
      <w:r>
        <w:rPr>
          <w:rFonts w:eastAsia="Amnesty Trade Gothic Light" w:cs="Amnesty Trade Gothic Light"/>
          <w:color w:val="000000"/>
          <w:szCs w:val="20"/>
          <w:bdr w:val="nil"/>
          <w:lang w:val="fr-FR"/>
        </w:rPr>
        <w:t xml:space="preserve"> ». En outre, il a souligné l’importance du principe du consentement préalable, donné librement et en connaissance </w:t>
      </w:r>
      <w:r>
        <w:rPr>
          <w:rFonts w:eastAsia="Amnesty Trade Gothic Light" w:cs="Amnesty Trade Gothic Light"/>
          <w:color w:val="000000"/>
          <w:szCs w:val="20"/>
          <w:bdr w:val="nil"/>
          <w:lang w:val="fr-FR"/>
        </w:rPr>
        <w:t>de cause, s’agissant des mesures susceptibles d’affecter ces personnes, tel qu'énoncé dans la Déclaration des Nations unies sur les droits des peuples autochtones.</w:t>
      </w:r>
    </w:p>
    <w:p w:rsidR="005A1854" w:rsidRPr="009A0E11" w:rsidRDefault="00920751" w:rsidP="00872AF2">
      <w:pPr>
        <w:pStyle w:val="PSBodyText"/>
        <w:rPr>
          <w:rFonts w:asciiTheme="minorHAnsi" w:hAnsiTheme="minorHAnsi"/>
          <w:lang w:val="en-GB"/>
        </w:rPr>
      </w:pPr>
      <w:r>
        <w:rPr>
          <w:rFonts w:eastAsia="Amnesty Trade Gothic Light" w:cs="Amnesty Trade Gothic Light"/>
          <w:color w:val="000000"/>
          <w:szCs w:val="20"/>
          <w:bdr w:val="nil"/>
          <w:lang w:val="fr-FR"/>
        </w:rPr>
        <w:t>À la suite de</w:t>
      </w:r>
      <w:r>
        <w:rPr>
          <w:rFonts w:eastAsia="Amnesty Trade Gothic Light" w:cs="Amnesty Trade Gothic Light"/>
          <w:color w:val="000000"/>
          <w:szCs w:val="20"/>
          <w:bdr w:val="nil"/>
          <w:lang w:val="fr-FR"/>
        </w:rPr>
        <w:t xml:space="preserve"> cette annonce, le ministre de l’Unité nationale, P. Waytha Moorthy, a publié une déclaration indiquant que le gouvernement allait examiner les recommandations formulées par la Commission malaisienne des droits humains (SUHAKAM) dans son rapport d’enquête </w:t>
      </w:r>
      <w:r>
        <w:rPr>
          <w:rFonts w:eastAsia="Amnesty Trade Gothic Light" w:cs="Amnesty Trade Gothic Light"/>
          <w:color w:val="000000"/>
          <w:szCs w:val="20"/>
          <w:bdr w:val="nil"/>
          <w:lang w:val="fr-FR"/>
        </w:rPr>
        <w:t>national de 2013 en vue de renforcer les droits des peuples autochtones. Le 20 janvier 2018, le ministre a en outre déclaré que les peuples autochtones de la Malaisie péninsulaire avaient un droit coutumier sur leurs terres ancestrales, que le gouvernement</w:t>
      </w:r>
      <w:r>
        <w:rPr>
          <w:rFonts w:eastAsia="Amnesty Trade Gothic Light" w:cs="Amnesty Trade Gothic Light"/>
          <w:color w:val="000000"/>
          <w:szCs w:val="20"/>
          <w:bdr w:val="nil"/>
          <w:lang w:val="fr-FR"/>
        </w:rPr>
        <w:t xml:space="preserve"> fédéral était juridiquement tenu de respecter. </w:t>
      </w:r>
    </w:p>
    <w:p w:rsidR="002C12E4" w:rsidRPr="009A0E11" w:rsidRDefault="00920751" w:rsidP="002C12E4">
      <w:pPr>
        <w:pStyle w:val="PSBodyText"/>
        <w:rPr>
          <w:rFonts w:asciiTheme="minorHAnsi" w:hAnsiTheme="minorHAnsi"/>
          <w:lang w:val="en-GB"/>
        </w:rPr>
      </w:pPr>
      <w:r>
        <w:rPr>
          <w:rFonts w:eastAsia="Amnesty Trade Gothic Light" w:cs="Amnesty Trade Gothic Light"/>
          <w:color w:val="000000"/>
          <w:szCs w:val="20"/>
          <w:bdr w:val="nil"/>
          <w:lang w:val="fr-FR"/>
        </w:rPr>
        <w:t xml:space="preserve">Amnesty International félicite le gouvernement pour ces initiatives attendues depuis longtemps et pour avoir fait référence aux </w:t>
      </w:r>
      <w:r>
        <w:rPr>
          <w:rFonts w:eastAsia="Amnesty Trade Gothic Light" w:cs="Amnesty Trade Gothic Light"/>
          <w:color w:val="000000"/>
          <w:szCs w:val="20"/>
          <w:bdr w:val="nil"/>
          <w:lang w:val="fr-FR"/>
        </w:rPr>
        <w:t>normes énoncées dans la Déclaration des Nations unies sur les droits des peuples autochtones. La Déclaration est le principal document international qui énonce les droits des peuples autochtones. Elle énumère les obligations de tous les États, notamment l’</w:t>
      </w:r>
      <w:r>
        <w:rPr>
          <w:rFonts w:eastAsia="Amnesty Trade Gothic Light" w:cs="Amnesty Trade Gothic Light"/>
          <w:color w:val="000000"/>
          <w:szCs w:val="20"/>
          <w:bdr w:val="nil"/>
          <w:lang w:val="fr-FR"/>
        </w:rPr>
        <w:t>obligation de respecter les droits des peuples autochtones à l'autodétermination, à leurs terres ancestrales, à une consultation en vue de l’obtention de leur consentement préalable, donné librement et en connaissance de cause avant l'adoption ou l’applica</w:t>
      </w:r>
      <w:r>
        <w:rPr>
          <w:rFonts w:eastAsia="Amnesty Trade Gothic Light" w:cs="Amnesty Trade Gothic Light"/>
          <w:color w:val="000000"/>
          <w:szCs w:val="20"/>
          <w:bdr w:val="nil"/>
          <w:lang w:val="fr-FR"/>
        </w:rPr>
        <w:t>tion de mesures susceptibles de les concerner, à la reconnaissance et à la préservation de leur identité culturelle, à la réparation et à l’indemnisation des préjudices subis, ainsi que le droit à ce que les traités et accords qu’ils ont conclus avec des É</w:t>
      </w:r>
      <w:r>
        <w:rPr>
          <w:rFonts w:eastAsia="Amnesty Trade Gothic Light" w:cs="Amnesty Trade Gothic Light"/>
          <w:color w:val="000000"/>
          <w:szCs w:val="20"/>
          <w:bdr w:val="nil"/>
          <w:lang w:val="fr-FR"/>
        </w:rPr>
        <w:t>tats soient honorés et pleinement appliqués.</w:t>
      </w:r>
    </w:p>
    <w:p w:rsidR="00375F8D" w:rsidRPr="009A0E11" w:rsidRDefault="00920751" w:rsidP="00375F8D">
      <w:pPr>
        <w:pStyle w:val="PSBodyText"/>
        <w:rPr>
          <w:rFonts w:asciiTheme="minorHAnsi" w:hAnsiTheme="minorHAnsi"/>
          <w:lang w:val="en-GB"/>
        </w:rPr>
      </w:pPr>
      <w:r>
        <w:rPr>
          <w:rFonts w:eastAsia="Amnesty Trade Gothic Light" w:cs="Amnesty Trade Gothic Light"/>
          <w:color w:val="000000"/>
          <w:szCs w:val="20"/>
          <w:bdr w:val="nil"/>
          <w:lang w:val="fr-FR"/>
        </w:rPr>
        <w:t>La Malaisie a voté en faveur de l’adoption de ce texte par l’Assemblée générale des Nations Unies en 2007. Toutefois, il existe un f</w:t>
      </w:r>
      <w:r>
        <w:rPr>
          <w:rFonts w:eastAsia="Amnesty Trade Gothic Light" w:cs="Amnesty Trade Gothic Light"/>
          <w:color w:val="000000"/>
          <w:szCs w:val="20"/>
          <w:bdr w:val="nil"/>
          <w:lang w:val="fr-FR"/>
        </w:rPr>
        <w:t>ossé énorme entre les principes auxquels cet État a apporté son soutien dans la Déclaration et la protection accordée aux peuples autochtones dans les lois, les politiques et les pratiques de la Malaisie. Un rapport publié par Amnesty International en nove</w:t>
      </w:r>
      <w:r>
        <w:rPr>
          <w:rFonts w:eastAsia="Amnesty Trade Gothic Light" w:cs="Amnesty Trade Gothic Light"/>
          <w:color w:val="000000"/>
          <w:szCs w:val="20"/>
          <w:bdr w:val="nil"/>
          <w:lang w:val="fr-FR"/>
        </w:rPr>
        <w:t>mbre 2018 a révélé que les peuples autochtones, dans tout le pays, subissaient toute une série de violations des droits humains, notamment un manque de reconnaissance de leurs terres ancestrales, ainsi que des actes de harcèlement et d’intimidation, des ar</w:t>
      </w:r>
      <w:r>
        <w:rPr>
          <w:rFonts w:eastAsia="Amnesty Trade Gothic Light" w:cs="Amnesty Trade Gothic Light"/>
          <w:color w:val="000000"/>
          <w:szCs w:val="20"/>
          <w:bdr w:val="nil"/>
          <w:lang w:val="fr-FR"/>
        </w:rPr>
        <w:t xml:space="preserve">restations, des violences, et même des homicides quand ils cherchaient à défendre pacifiquement leurs terres. Ce rapport d'Amnesty International (en anglais), intitulé </w:t>
      </w:r>
      <w:r w:rsidRPr="003B7D06">
        <w:rPr>
          <w:rFonts w:eastAsia="Amnesty Trade Gothic Light" w:cs="Amnesty Trade Gothic Light"/>
          <w:i/>
          <w:color w:val="000000"/>
          <w:szCs w:val="20"/>
          <w:bdr w:val="nil"/>
          <w:lang w:val="fr-FR"/>
        </w:rPr>
        <w:t xml:space="preserve">The Forest is our </w:t>
      </w:r>
      <w:proofErr w:type="gramStart"/>
      <w:r w:rsidRPr="003B7D06">
        <w:rPr>
          <w:rFonts w:eastAsia="Amnesty Trade Gothic Light" w:cs="Amnesty Trade Gothic Light"/>
          <w:i/>
          <w:color w:val="000000"/>
          <w:szCs w:val="20"/>
          <w:bdr w:val="nil"/>
          <w:lang w:val="fr-FR"/>
        </w:rPr>
        <w:t>Heartbeat:</w:t>
      </w:r>
      <w:proofErr w:type="gramEnd"/>
      <w:r w:rsidRPr="003B7D06">
        <w:rPr>
          <w:rFonts w:eastAsia="Amnesty Trade Gothic Light" w:cs="Amnesty Trade Gothic Light"/>
          <w:i/>
          <w:color w:val="000000"/>
          <w:szCs w:val="20"/>
          <w:bdr w:val="nil"/>
          <w:lang w:val="fr-FR"/>
        </w:rPr>
        <w:t xml:space="preserve"> the Struggle to Defend Indigenous Land in Malaysia</w:t>
      </w:r>
      <w:r w:rsidRPr="003B7D06">
        <w:rPr>
          <w:rFonts w:eastAsia="Amnesty Trade Gothic Light" w:cs="Amnesty Trade Gothic Light"/>
          <w:i/>
          <w:color w:val="000000"/>
          <w:szCs w:val="20"/>
          <w:bdr w:val="nil"/>
          <w:lang w:val="fr-FR"/>
        </w:rPr>
        <w:t>,</w:t>
      </w:r>
      <w:r>
        <w:rPr>
          <w:rFonts w:eastAsia="Amnesty Trade Gothic Light" w:cs="Amnesty Trade Gothic Light"/>
          <w:color w:val="000000"/>
          <w:szCs w:val="20"/>
          <w:bdr w:val="nil"/>
          <w:lang w:val="fr-FR"/>
        </w:rPr>
        <w:t xml:space="preserve"> montr</w:t>
      </w:r>
      <w:r>
        <w:rPr>
          <w:rFonts w:eastAsia="Amnesty Trade Gothic Light" w:cs="Amnesty Trade Gothic Light"/>
          <w:color w:val="000000"/>
          <w:szCs w:val="20"/>
          <w:bdr w:val="nil"/>
          <w:lang w:val="fr-FR"/>
        </w:rPr>
        <w:t>e que si le gouvernement s’est engagé en 2013 à donner suite aux recommandations détaillées formulées dans l'enquête nationale sur les terres autochtones publiée cette même année</w:t>
      </w:r>
      <w:r>
        <w:rPr>
          <w:rFonts w:eastAsia="Amnesty Trade Gothic Light" w:cs="Amnesty Trade Gothic Light"/>
          <w:color w:val="000000"/>
          <w:szCs w:val="20"/>
          <w:bdr w:val="nil"/>
          <w:lang w:val="fr-FR"/>
        </w:rPr>
        <w:t xml:space="preserve">, la protection des peuples autochtones dans le pays n’a guère progressé. </w:t>
      </w:r>
    </w:p>
    <w:p w:rsidR="009A0E11" w:rsidRPr="009A0E11" w:rsidRDefault="00920751" w:rsidP="00375F8D">
      <w:pPr>
        <w:pStyle w:val="PSBodyText"/>
        <w:rPr>
          <w:rFonts w:asciiTheme="minorHAnsi" w:hAnsiTheme="minorHAnsi"/>
          <w:lang w:val="en-GB"/>
        </w:rPr>
      </w:pPr>
      <w:r>
        <w:rPr>
          <w:rFonts w:eastAsia="Amnesty Trade Gothic Light" w:cs="Amnesty Trade Gothic Light"/>
          <w:color w:val="000000"/>
          <w:szCs w:val="20"/>
          <w:bdr w:val="nil"/>
          <w:lang w:val="fr-FR"/>
        </w:rPr>
        <w:t>Dans son programme électoral de 2018, le gouvernement s'est engagé à mettre en œuvre de nombreuses réformes en matière de droits humains, notamment à « reconnaître, respecter et p</w:t>
      </w:r>
      <w:r>
        <w:rPr>
          <w:rFonts w:eastAsia="Amnesty Trade Gothic Light" w:cs="Amnesty Trade Gothic Light"/>
          <w:color w:val="000000"/>
          <w:szCs w:val="20"/>
          <w:bdr w:val="nil"/>
          <w:lang w:val="fr-FR"/>
        </w:rPr>
        <w:t>rotéger la dignité et les droits » des peuples autochtones de Malaisie. Il a également indiqué qu'il « s’</w:t>
      </w:r>
      <w:proofErr w:type="spellStart"/>
      <w:r>
        <w:rPr>
          <w:rFonts w:eastAsia="Amnesty Trade Gothic Light" w:cs="Amnesty Trade Gothic Light"/>
          <w:color w:val="000000"/>
          <w:szCs w:val="20"/>
          <w:bdr w:val="nil"/>
          <w:lang w:val="fr-FR"/>
        </w:rPr>
        <w:t>emploier</w:t>
      </w:r>
      <w:proofErr w:type="spellEnd"/>
      <w:r w:rsidR="003B7D06">
        <w:rPr>
          <w:rFonts w:ascii="Calibri" w:eastAsia="Amnesty Trade Gothic Light" w:hAnsi="Calibri" w:cs="Calibri"/>
          <w:color w:val="000000"/>
          <w:szCs w:val="20"/>
          <w:bdr w:val="nil"/>
          <w:lang w:val="fr-FR"/>
        </w:rPr>
        <w:t>[</w:t>
      </w:r>
      <w:r>
        <w:rPr>
          <w:rFonts w:eastAsia="Amnesty Trade Gothic Light" w:cs="Amnesty Trade Gothic Light"/>
          <w:color w:val="000000"/>
          <w:szCs w:val="20"/>
          <w:bdr w:val="nil"/>
          <w:lang w:val="fr-FR"/>
        </w:rPr>
        <w:t>ait</w:t>
      </w:r>
      <w:r w:rsidR="003B7D06">
        <w:rPr>
          <w:rFonts w:ascii="Calibri" w:eastAsia="Amnesty Trade Gothic Light" w:hAnsi="Calibri" w:cs="Calibri"/>
          <w:color w:val="000000"/>
          <w:szCs w:val="20"/>
          <w:bdr w:val="nil"/>
          <w:lang w:val="fr-FR"/>
        </w:rPr>
        <w:t>]</w:t>
      </w:r>
      <w:r>
        <w:rPr>
          <w:rFonts w:eastAsia="Amnesty Trade Gothic Light" w:cs="Amnesty Trade Gothic Light"/>
          <w:color w:val="000000"/>
          <w:szCs w:val="20"/>
          <w:bdr w:val="nil"/>
          <w:lang w:val="fr-FR"/>
        </w:rPr>
        <w:t xml:space="preserve"> à mettre en œuvre les propositions du rapport sur l’Enquête nationale sur les droits à la terre des peuples autochtones présenté par la S</w:t>
      </w:r>
      <w:r>
        <w:rPr>
          <w:rFonts w:eastAsia="Amnesty Trade Gothic Light" w:cs="Amnesty Trade Gothic Light"/>
          <w:color w:val="000000"/>
          <w:szCs w:val="20"/>
          <w:bdr w:val="nil"/>
          <w:lang w:val="fr-FR"/>
        </w:rPr>
        <w:t xml:space="preserve">UHAKAM ». C’est une bonne chose que le gouvernement ait réaffirmé qu'il tiendrait ces engagements. </w:t>
      </w:r>
    </w:p>
    <w:p w:rsidR="003C4B58" w:rsidRDefault="00920751" w:rsidP="00375F8D">
      <w:pPr>
        <w:pStyle w:val="PSBodyText"/>
        <w:rPr>
          <w:rFonts w:asciiTheme="minorHAnsi" w:hAnsiTheme="minorHAnsi"/>
          <w:lang w:val="en-GB"/>
        </w:rPr>
      </w:pPr>
      <w:r>
        <w:rPr>
          <w:rFonts w:eastAsia="Amnesty Trade Gothic Light" w:cs="Amnesty Trade Gothic Light"/>
          <w:color w:val="000000"/>
          <w:szCs w:val="20"/>
          <w:bdr w:val="nil"/>
          <w:lang w:val="fr-FR"/>
        </w:rPr>
        <w:t>Dans ce programme, le gouvernement a également promis de reconnaître les terr</w:t>
      </w:r>
      <w:r>
        <w:rPr>
          <w:rFonts w:eastAsia="Amnesty Trade Gothic Light" w:cs="Amnesty Trade Gothic Light"/>
          <w:color w:val="000000"/>
          <w:szCs w:val="20"/>
          <w:bdr w:val="nil"/>
          <w:lang w:val="fr-FR"/>
        </w:rPr>
        <w:t>es des peuples autochtones de la Malaisie péninsulaire, du Sabah et du Sarawak et, pour les terres qui ont fait l’objet d’appropriations injustes, de « mettre en place un mécanisme de réparation destiné à assurer une indemnisation adéquate à la partie touc</w:t>
      </w:r>
      <w:r>
        <w:rPr>
          <w:rFonts w:eastAsia="Amnesty Trade Gothic Light" w:cs="Amnesty Trade Gothic Light"/>
          <w:color w:val="000000"/>
          <w:szCs w:val="20"/>
          <w:bdr w:val="nil"/>
          <w:lang w:val="fr-FR"/>
        </w:rPr>
        <w:t xml:space="preserve">hée ». Le mécanisme devrait prévoir la </w:t>
      </w:r>
      <w:r>
        <w:rPr>
          <w:rFonts w:eastAsia="Amnesty Trade Gothic Light" w:cs="Amnesty Trade Gothic Light"/>
          <w:color w:val="000000"/>
          <w:szCs w:val="20"/>
          <w:bdr w:val="nil"/>
          <w:lang w:val="fr-FR"/>
        </w:rPr>
        <w:lastRenderedPageBreak/>
        <w:t xml:space="preserve">restitution des terres à leurs propriétaires initiaux ou, </w:t>
      </w:r>
      <w:r>
        <w:rPr>
          <w:rFonts w:eastAsia="Amnesty Trade Gothic Light" w:cs="Amnesty Trade Gothic Light"/>
          <w:color w:val="000000"/>
          <w:szCs w:val="20"/>
          <w:bdr w:val="nil"/>
          <w:lang w:val="fr-FR"/>
        </w:rPr>
        <w:t xml:space="preserve">lorsque cela n’est pas possible, la mise à disposition d’autres terres de qualité équivalente. </w:t>
      </w:r>
    </w:p>
    <w:p w:rsidR="009A0E11" w:rsidRPr="009A0E11" w:rsidRDefault="00920751" w:rsidP="00872AF2">
      <w:pPr>
        <w:pStyle w:val="PSBodyText"/>
        <w:rPr>
          <w:rFonts w:asciiTheme="minorHAnsi" w:hAnsiTheme="minorHAnsi"/>
          <w:lang w:val="en-GB"/>
        </w:rPr>
      </w:pPr>
      <w:r>
        <w:rPr>
          <w:rFonts w:eastAsia="Amnesty Trade Gothic Light" w:cs="Amnesty Trade Gothic Light"/>
          <w:color w:val="000000"/>
          <w:szCs w:val="20"/>
          <w:bdr w:val="nil"/>
          <w:lang w:val="fr-FR"/>
        </w:rPr>
        <w:t>Amnesty International appelle à l’adoption de réformes pour que ces autres promesses soient également tenues, et demande instamment aux autorités de prendre des mesures pour parvenir à des avancées concrètes. Afin de protéger les activit</w:t>
      </w:r>
      <w:r>
        <w:rPr>
          <w:rFonts w:eastAsia="Amnesty Trade Gothic Light" w:cs="Amnesty Trade Gothic Light"/>
          <w:color w:val="000000"/>
          <w:szCs w:val="20"/>
          <w:bdr w:val="nil"/>
          <w:lang w:val="fr-FR"/>
        </w:rPr>
        <w:t xml:space="preserve">és des défenseurs des terres autochtones, le gouvernement malaisien doit veiller à ce qu'ils ne subissent ni harcèlement ni menace de criminalisation au moyen de lois répressives, et à ce qu'ils puissent mener leurs activités importantes et légitimes dans </w:t>
      </w:r>
      <w:r>
        <w:rPr>
          <w:rFonts w:eastAsia="Amnesty Trade Gothic Light" w:cs="Amnesty Trade Gothic Light"/>
          <w:color w:val="000000"/>
          <w:szCs w:val="20"/>
          <w:bdr w:val="nil"/>
          <w:lang w:val="fr-FR"/>
        </w:rPr>
        <w:t>un environnement sûr. En outre, les autorités doivent diligenter des enquêtes approfondies et impartiales sur les attaques, menaces et agressions visant des défenseurs des droits humains qui s’emploient à protéger les droits liés aux terres autochtones. Lo</w:t>
      </w:r>
      <w:r>
        <w:rPr>
          <w:rFonts w:eastAsia="Amnesty Trade Gothic Light" w:cs="Amnesty Trade Gothic Light"/>
          <w:color w:val="000000"/>
          <w:szCs w:val="20"/>
          <w:bdr w:val="nil"/>
          <w:lang w:val="fr-FR"/>
        </w:rPr>
        <w:t>rsqu’il existe suffisamment d’éléments tendant à prouver une responsabilité pénale, les auteurs présumés d’infractions doivent être traduits en justice dans le cadre de procès équitables, excluant le recours à la peine de mort.</w:t>
      </w:r>
      <w:r>
        <w:rPr>
          <w:rFonts w:eastAsia="Amnesty Trade Gothic Light" w:cs="Amnesty Trade Gothic Light"/>
          <w:color w:val="000000"/>
          <w:sz w:val="18"/>
          <w:szCs w:val="18"/>
          <w:bdr w:val="nil"/>
          <w:lang w:val="fr-FR"/>
        </w:rPr>
        <w:t xml:space="preserve"> </w:t>
      </w:r>
    </w:p>
    <w:p w:rsidR="00A14A66" w:rsidRPr="009A0E11" w:rsidRDefault="00920751" w:rsidP="00872AF2">
      <w:pPr>
        <w:pStyle w:val="PSBodyText"/>
        <w:rPr>
          <w:rFonts w:asciiTheme="minorHAnsi" w:hAnsiTheme="minorHAnsi"/>
          <w:szCs w:val="20"/>
          <w:lang w:val="en-GB"/>
        </w:rPr>
      </w:pPr>
      <w:r>
        <w:rPr>
          <w:rFonts w:eastAsia="Amnesty Trade Gothic Light" w:cs="Amnesty Trade Gothic Light"/>
          <w:color w:val="000000"/>
          <w:szCs w:val="20"/>
          <w:bdr w:val="nil"/>
          <w:lang w:val="fr-FR"/>
        </w:rPr>
        <w:t xml:space="preserve">De manière plus générale, les autorités devraient également consulter les peuples autochtones en vue d’adopter des </w:t>
      </w:r>
      <w:r>
        <w:rPr>
          <w:rFonts w:eastAsia="Amnesty Trade Gothic Light" w:cs="Amnesty Trade Gothic Light"/>
          <w:color w:val="000000"/>
          <w:szCs w:val="20"/>
          <w:bdr w:val="nil"/>
          <w:lang w:val="fr-FR"/>
        </w:rPr>
        <w:t>dispositions législatives - sur le consentement préalable, libre et éclairé des peuples autochtones, par exemple - garantissant leurs droits à la terre, à la protection de leur patrimoine culturel et à un environnement sain. Des mécanismes, y compris un or</w:t>
      </w:r>
      <w:r>
        <w:rPr>
          <w:rFonts w:eastAsia="Amnesty Trade Gothic Light" w:cs="Amnesty Trade Gothic Light"/>
          <w:color w:val="000000"/>
          <w:szCs w:val="20"/>
          <w:bdr w:val="nil"/>
          <w:lang w:val="fr-FR"/>
        </w:rPr>
        <w:t>gane de surveillance, devraient être mis en place pour s’atteler aux changements systémiques à long terme qui sont nécessaires pour sortir du cercle vicieux des violations commises contre les peuples autochtones. Enfin, le gouvernement devrait confirmer le</w:t>
      </w:r>
      <w:r>
        <w:rPr>
          <w:rFonts w:eastAsia="Amnesty Trade Gothic Light" w:cs="Amnesty Trade Gothic Light"/>
          <w:color w:val="000000"/>
          <w:szCs w:val="20"/>
          <w:bdr w:val="nil"/>
          <w:lang w:val="fr-FR"/>
        </w:rPr>
        <w:t xml:space="preserve">s modalités de la visite du rapporteur spécial sur les droits des peuples autochtones en 2019. </w:t>
      </w:r>
    </w:p>
    <w:p w:rsidR="000E40F1" w:rsidRPr="009A0E11" w:rsidRDefault="00920751" w:rsidP="00872AF2">
      <w:pPr>
        <w:pStyle w:val="PSBodyText"/>
        <w:rPr>
          <w:rFonts w:asciiTheme="minorHAnsi" w:hAnsiTheme="minorHAnsi"/>
          <w:sz w:val="22"/>
          <w:lang w:val="en-GB"/>
        </w:rPr>
      </w:pPr>
      <w:r>
        <w:rPr>
          <w:rFonts w:eastAsia="Amnesty Trade Gothic Light" w:cs="Amnesty Trade Gothic Light"/>
          <w:color w:val="000000"/>
          <w:szCs w:val="20"/>
          <w:bdr w:val="nil"/>
          <w:lang w:val="fr-FR"/>
        </w:rPr>
        <w:t>Amnesty International estime que le fait que le gouvernement se soit récemment en</w:t>
      </w:r>
      <w:r>
        <w:rPr>
          <w:rFonts w:eastAsia="Amnesty Trade Gothic Light" w:cs="Amnesty Trade Gothic Light"/>
          <w:color w:val="000000"/>
          <w:szCs w:val="20"/>
          <w:bdr w:val="nil"/>
          <w:lang w:val="fr-FR"/>
        </w:rPr>
        <w:t>gagé à lutter contre les violations systématiques commises contre les peuples autochtones est un pas important sur la voie d’améliorations sur le terrain, et qu'il est essentiel de ne pas laisser passer l'occasion de mettre en œuvre des réformes plus vaste</w:t>
      </w:r>
      <w:r>
        <w:rPr>
          <w:rFonts w:eastAsia="Amnesty Trade Gothic Light" w:cs="Amnesty Trade Gothic Light"/>
          <w:color w:val="000000"/>
          <w:szCs w:val="20"/>
          <w:bdr w:val="nil"/>
          <w:lang w:val="fr-FR"/>
        </w:rPr>
        <w:t xml:space="preserve">s et plus durables. </w:t>
      </w:r>
    </w:p>
    <w:p w:rsidR="003C4B58" w:rsidRPr="00CD4553" w:rsidRDefault="00920751" w:rsidP="003C4B58">
      <w:pPr>
        <w:pStyle w:val="PSSubHeading"/>
        <w:rPr>
          <w:lang w:val="en-GB"/>
        </w:rPr>
      </w:pPr>
      <w:r>
        <w:rPr>
          <w:rFonts w:eastAsia="Amnesty Trade Gothic Cn" w:cs="Amnesty Trade Gothic Cn"/>
          <w:bCs/>
          <w:color w:val="000000"/>
          <w:szCs w:val="28"/>
          <w:bdr w:val="nil"/>
          <w:lang w:val="fr-FR"/>
        </w:rPr>
        <w:t>COMPLÉMENT D’INFORMATION</w:t>
      </w:r>
    </w:p>
    <w:p w:rsidR="001B7D74" w:rsidRDefault="00920751" w:rsidP="001B7D74">
      <w:pPr>
        <w:pStyle w:val="Default"/>
        <w:rPr>
          <w:rFonts w:asciiTheme="minorHAnsi" w:hAnsiTheme="minorHAnsi"/>
          <w:sz w:val="20"/>
          <w:szCs w:val="18"/>
        </w:rPr>
      </w:pPr>
      <w:r>
        <w:rPr>
          <w:rFonts w:ascii="Amnesty Trade Gothic Light" w:eastAsia="Amnesty Trade Gothic Light" w:hAnsi="Amnesty Trade Gothic Light" w:cs="Amnesty Trade Gothic Light"/>
          <w:sz w:val="20"/>
          <w:szCs w:val="20"/>
          <w:bdr w:val="nil"/>
          <w:lang w:val="fr-FR"/>
        </w:rPr>
        <w:t>Le 29 novembre 2018, Amnesty International a publié</w:t>
      </w:r>
      <w:r>
        <w:rPr>
          <w:rFonts w:ascii="Amnesty Trade Gothic Light" w:eastAsia="Amnesty Trade Gothic Light" w:hAnsi="Amnesty Trade Gothic Light" w:cs="Amnesty Trade Gothic Light"/>
          <w:sz w:val="20"/>
          <w:szCs w:val="20"/>
          <w:bdr w:val="nil"/>
          <w:lang w:val="fr-FR"/>
        </w:rPr>
        <w:t xml:space="preserve"> un rapport (en anglais) intitulé </w:t>
      </w:r>
      <w:hyperlink r:id="rId12" w:history="1">
        <w:r w:rsidRPr="00BB308C">
          <w:rPr>
            <w:rFonts w:ascii="Amnesty Trade Gothic Light" w:eastAsia="Amnesty Trade Gothic Light" w:hAnsi="Amnesty Trade Gothic Light" w:cs="Amnesty Trade Gothic Light"/>
            <w:i/>
            <w:color w:val="0070C0"/>
            <w:sz w:val="20"/>
            <w:szCs w:val="20"/>
            <w:bdr w:val="nil"/>
            <w:lang w:val="fr-FR"/>
          </w:rPr>
          <w:t xml:space="preserve">The Forest </w:t>
        </w:r>
        <w:proofErr w:type="spellStart"/>
        <w:r w:rsidRPr="00BB308C">
          <w:rPr>
            <w:rFonts w:ascii="Amnesty Trade Gothic Light" w:eastAsia="Amnesty Trade Gothic Light" w:hAnsi="Amnesty Trade Gothic Light" w:cs="Amnesty Trade Gothic Light"/>
            <w:i/>
            <w:color w:val="0070C0"/>
            <w:sz w:val="20"/>
            <w:szCs w:val="20"/>
            <w:bdr w:val="nil"/>
            <w:lang w:val="fr-FR"/>
          </w:rPr>
          <w:t>is</w:t>
        </w:r>
        <w:proofErr w:type="spellEnd"/>
        <w:r w:rsidRPr="00BB308C">
          <w:rPr>
            <w:rFonts w:ascii="Amnesty Trade Gothic Light" w:eastAsia="Amnesty Trade Gothic Light" w:hAnsi="Amnesty Trade Gothic Light" w:cs="Amnesty Trade Gothic Light"/>
            <w:i/>
            <w:color w:val="0070C0"/>
            <w:sz w:val="20"/>
            <w:szCs w:val="20"/>
            <w:bdr w:val="nil"/>
            <w:lang w:val="fr-FR"/>
          </w:rPr>
          <w:t xml:space="preserve"> </w:t>
        </w:r>
        <w:proofErr w:type="spellStart"/>
        <w:r w:rsidRPr="00BB308C">
          <w:rPr>
            <w:rFonts w:ascii="Amnesty Trade Gothic Light" w:eastAsia="Amnesty Trade Gothic Light" w:hAnsi="Amnesty Trade Gothic Light" w:cs="Amnesty Trade Gothic Light"/>
            <w:i/>
            <w:color w:val="0070C0"/>
            <w:sz w:val="20"/>
            <w:szCs w:val="20"/>
            <w:bdr w:val="nil"/>
            <w:lang w:val="fr-FR"/>
          </w:rPr>
          <w:t>our</w:t>
        </w:r>
        <w:proofErr w:type="spellEnd"/>
        <w:r w:rsidRPr="00BB308C">
          <w:rPr>
            <w:rFonts w:ascii="Amnesty Trade Gothic Light" w:eastAsia="Amnesty Trade Gothic Light" w:hAnsi="Amnesty Trade Gothic Light" w:cs="Amnesty Trade Gothic Light"/>
            <w:i/>
            <w:color w:val="0070C0"/>
            <w:sz w:val="20"/>
            <w:szCs w:val="20"/>
            <w:bdr w:val="nil"/>
            <w:lang w:val="fr-FR"/>
          </w:rPr>
          <w:t xml:space="preserve"> </w:t>
        </w:r>
        <w:proofErr w:type="spellStart"/>
        <w:r w:rsidRPr="00BB308C">
          <w:rPr>
            <w:rFonts w:ascii="Amnesty Trade Gothic Light" w:eastAsia="Amnesty Trade Gothic Light" w:hAnsi="Amnesty Trade Gothic Light" w:cs="Amnesty Trade Gothic Light"/>
            <w:i/>
            <w:color w:val="0070C0"/>
            <w:sz w:val="20"/>
            <w:szCs w:val="20"/>
            <w:bdr w:val="nil"/>
            <w:lang w:val="fr-FR"/>
          </w:rPr>
          <w:t>Heartbeat</w:t>
        </w:r>
        <w:proofErr w:type="spellEnd"/>
        <w:r w:rsidRPr="00BB308C">
          <w:rPr>
            <w:rFonts w:ascii="Amnesty Trade Gothic Light" w:eastAsia="Amnesty Trade Gothic Light" w:hAnsi="Amnesty Trade Gothic Light" w:cs="Amnesty Trade Gothic Light"/>
            <w:i/>
            <w:color w:val="0070C0"/>
            <w:sz w:val="20"/>
            <w:szCs w:val="20"/>
            <w:bdr w:val="nil"/>
            <w:lang w:val="fr-FR"/>
          </w:rPr>
          <w:t xml:space="preserve">: The Struggle to </w:t>
        </w:r>
        <w:proofErr w:type="spellStart"/>
        <w:r w:rsidRPr="00BB308C">
          <w:rPr>
            <w:rFonts w:ascii="Amnesty Trade Gothic Light" w:eastAsia="Amnesty Trade Gothic Light" w:hAnsi="Amnesty Trade Gothic Light" w:cs="Amnesty Trade Gothic Light"/>
            <w:i/>
            <w:color w:val="0070C0"/>
            <w:sz w:val="20"/>
            <w:szCs w:val="20"/>
            <w:bdr w:val="nil"/>
            <w:lang w:val="fr-FR"/>
          </w:rPr>
          <w:t>Defend</w:t>
        </w:r>
        <w:proofErr w:type="spellEnd"/>
        <w:r w:rsidRPr="00BB308C">
          <w:rPr>
            <w:rFonts w:ascii="Amnesty Trade Gothic Light" w:eastAsia="Amnesty Trade Gothic Light" w:hAnsi="Amnesty Trade Gothic Light" w:cs="Amnesty Trade Gothic Light"/>
            <w:i/>
            <w:color w:val="0070C0"/>
            <w:sz w:val="20"/>
            <w:szCs w:val="20"/>
            <w:bdr w:val="nil"/>
            <w:lang w:val="fr-FR"/>
          </w:rPr>
          <w:t xml:space="preserve"> </w:t>
        </w:r>
        <w:proofErr w:type="spellStart"/>
        <w:r w:rsidRPr="00BB308C">
          <w:rPr>
            <w:rFonts w:ascii="Amnesty Trade Gothic Light" w:eastAsia="Amnesty Trade Gothic Light" w:hAnsi="Amnesty Trade Gothic Light" w:cs="Amnesty Trade Gothic Light"/>
            <w:i/>
            <w:color w:val="0070C0"/>
            <w:sz w:val="20"/>
            <w:szCs w:val="20"/>
            <w:bdr w:val="nil"/>
            <w:lang w:val="fr-FR"/>
          </w:rPr>
          <w:t>Indigenous</w:t>
        </w:r>
        <w:proofErr w:type="spellEnd"/>
        <w:r w:rsidRPr="00BB308C">
          <w:rPr>
            <w:rFonts w:ascii="Amnesty Trade Gothic Light" w:eastAsia="Amnesty Trade Gothic Light" w:hAnsi="Amnesty Trade Gothic Light" w:cs="Amnesty Trade Gothic Light"/>
            <w:i/>
            <w:color w:val="0070C0"/>
            <w:sz w:val="20"/>
            <w:szCs w:val="20"/>
            <w:bdr w:val="nil"/>
            <w:lang w:val="fr-FR"/>
          </w:rPr>
          <w:t xml:space="preserve"> Land in M</w:t>
        </w:r>
        <w:r w:rsidRPr="00BB308C">
          <w:rPr>
            <w:rFonts w:ascii="Amnesty Trade Gothic Light" w:eastAsia="Amnesty Trade Gothic Light" w:hAnsi="Amnesty Trade Gothic Light" w:cs="Amnesty Trade Gothic Light"/>
            <w:i/>
            <w:color w:val="0070C0"/>
            <w:sz w:val="20"/>
            <w:szCs w:val="20"/>
            <w:bdr w:val="nil"/>
            <w:lang w:val="fr-FR"/>
          </w:rPr>
          <w:t>alaysia</w:t>
        </w:r>
        <w:r>
          <w:rPr>
            <w:rFonts w:ascii="Amnesty Trade Gothic Light" w:eastAsia="Amnesty Trade Gothic Light" w:hAnsi="Amnesty Trade Gothic Light" w:cs="Amnesty Trade Gothic Light"/>
            <w:sz w:val="20"/>
            <w:szCs w:val="20"/>
            <w:bdr w:val="nil"/>
            <w:lang w:val="fr-FR"/>
          </w:rPr>
          <w:t>.</w:t>
        </w:r>
      </w:hyperlink>
      <w:r w:rsidR="003B7D06">
        <w:rPr>
          <w:rFonts w:ascii="Amnesty Trade Gothic Light" w:eastAsia="Amnesty Trade Gothic Light" w:hAnsi="Amnesty Trade Gothic Light" w:cs="Amnesty Trade Gothic Light"/>
          <w:sz w:val="20"/>
          <w:szCs w:val="20"/>
          <w:bdr w:val="nil"/>
          <w:lang w:val="fr-FR"/>
        </w:rPr>
        <w:t xml:space="preserve"> </w:t>
      </w:r>
      <w:r>
        <w:rPr>
          <w:rFonts w:ascii="Amnesty Trade Gothic Light" w:eastAsia="Amnesty Trade Gothic Light" w:hAnsi="Amnesty Trade Gothic Light" w:cs="Amnesty Trade Gothic Light"/>
          <w:sz w:val="20"/>
          <w:szCs w:val="20"/>
          <w:bdr w:val="nil"/>
          <w:lang w:val="fr-FR"/>
        </w:rPr>
        <w:t>Ce rapport repose principalement sur des recherches effectuées sur le terrain lors de visites d'Amnesty International en Malaisie en juillet et août 2017 et en janv</w:t>
      </w:r>
      <w:r>
        <w:rPr>
          <w:rFonts w:ascii="Amnesty Trade Gothic Light" w:eastAsia="Amnesty Trade Gothic Light" w:hAnsi="Amnesty Trade Gothic Light" w:cs="Amnesty Trade Gothic Light"/>
          <w:sz w:val="20"/>
          <w:szCs w:val="20"/>
          <w:bdr w:val="nil"/>
          <w:lang w:val="fr-FR"/>
        </w:rPr>
        <w:t xml:space="preserve">ier 2018, ainsi que sur des recherches à distance réalisées en août et septembre 2018. </w:t>
      </w:r>
    </w:p>
    <w:p w:rsidR="001B7D74" w:rsidRDefault="001B7D74" w:rsidP="001B7D74">
      <w:pPr>
        <w:pStyle w:val="Default"/>
        <w:rPr>
          <w:rFonts w:asciiTheme="minorHAnsi" w:hAnsiTheme="minorHAnsi"/>
          <w:sz w:val="20"/>
          <w:szCs w:val="18"/>
        </w:rPr>
      </w:pPr>
    </w:p>
    <w:p w:rsidR="001B7D74" w:rsidRDefault="00920751" w:rsidP="001B7D74">
      <w:pPr>
        <w:pStyle w:val="Default"/>
        <w:rPr>
          <w:rFonts w:asciiTheme="minorHAnsi" w:hAnsiTheme="minorHAnsi"/>
          <w:sz w:val="20"/>
          <w:szCs w:val="18"/>
        </w:rPr>
      </w:pPr>
      <w:r>
        <w:rPr>
          <w:rFonts w:ascii="Amnesty Trade Gothic Light" w:eastAsia="Amnesty Trade Gothic Light" w:hAnsi="Amnesty Trade Gothic Light" w:cs="Amnesty Trade Gothic Light"/>
          <w:sz w:val="20"/>
          <w:szCs w:val="20"/>
          <w:bdr w:val="nil"/>
          <w:lang w:val="fr-FR"/>
        </w:rPr>
        <w:t>Pendant cette période, Amnesty International s’est entretenue avec 86 membres de la comm</w:t>
      </w:r>
      <w:r>
        <w:rPr>
          <w:rFonts w:ascii="Amnesty Trade Gothic Light" w:eastAsia="Amnesty Trade Gothic Light" w:hAnsi="Amnesty Trade Gothic Light" w:cs="Amnesty Trade Gothic Light"/>
          <w:sz w:val="20"/>
          <w:szCs w:val="20"/>
          <w:bdr w:val="nil"/>
          <w:lang w:val="fr-FR"/>
        </w:rPr>
        <w:t>unauté autochtone, chefs de village, militants locaux, membres d'organisations de la société civile, avocats, universitaires et journalistes. Amnesty International a rencontré des représentants de la Commission nationale des droits humains (SUHAKAM) et d'O</w:t>
      </w:r>
      <w:r>
        <w:rPr>
          <w:rFonts w:ascii="Amnesty Trade Gothic Light" w:eastAsia="Amnesty Trade Gothic Light" w:hAnsi="Amnesty Trade Gothic Light" w:cs="Amnesty Trade Gothic Light"/>
          <w:sz w:val="20"/>
          <w:szCs w:val="20"/>
          <w:bdr w:val="nil"/>
          <w:lang w:val="fr-FR"/>
        </w:rPr>
        <w:t>NG de défense des droits des peuples autochtones. Le rapport s'appuie également sur l’analyse de publications universitaires et autres consacrées à la question, ainsi que sur des reportages des médias portant sur les terres autochtones en Malaisie. Les rec</w:t>
      </w:r>
      <w:r>
        <w:rPr>
          <w:rFonts w:ascii="Amnesty Trade Gothic Light" w:eastAsia="Amnesty Trade Gothic Light" w:hAnsi="Amnesty Trade Gothic Light" w:cs="Amnesty Trade Gothic Light"/>
          <w:sz w:val="20"/>
          <w:szCs w:val="20"/>
          <w:bdr w:val="nil"/>
          <w:lang w:val="fr-FR"/>
        </w:rPr>
        <w:t xml:space="preserve">herches ont porté sur tout le pays, englobant la Malaisie péninsulaire, le Sabah et le Sarawak. </w:t>
      </w:r>
    </w:p>
    <w:p w:rsidR="001B7D74" w:rsidRDefault="001B7D74" w:rsidP="001B7D74">
      <w:pPr>
        <w:pStyle w:val="Default"/>
        <w:rPr>
          <w:rFonts w:asciiTheme="minorHAnsi" w:hAnsiTheme="minorHAnsi"/>
          <w:sz w:val="20"/>
          <w:szCs w:val="18"/>
        </w:rPr>
      </w:pPr>
      <w:bookmarkStart w:id="0" w:name="_GoBack"/>
      <w:bookmarkEnd w:id="0"/>
    </w:p>
    <w:p w:rsidR="001B7D74" w:rsidRPr="001B7D74" w:rsidRDefault="00920751" w:rsidP="001B7D74">
      <w:pPr>
        <w:pStyle w:val="Default"/>
        <w:rPr>
          <w:rFonts w:asciiTheme="minorHAnsi" w:hAnsiTheme="minorHAnsi"/>
          <w:sz w:val="20"/>
          <w:szCs w:val="18"/>
        </w:rPr>
      </w:pPr>
      <w:r>
        <w:rPr>
          <w:rFonts w:ascii="Amnesty Trade Gothic Light" w:eastAsia="Amnesty Trade Gothic Light" w:hAnsi="Amnesty Trade Gothic Light" w:cs="Amnesty Trade Gothic Light"/>
          <w:sz w:val="20"/>
          <w:szCs w:val="20"/>
          <w:bdr w:val="nil"/>
          <w:lang w:val="fr-FR"/>
        </w:rPr>
        <w:t>Le rapport expose les difficultés rencontrées par les peuples autochtones de Ma</w:t>
      </w:r>
      <w:r>
        <w:rPr>
          <w:rFonts w:ascii="Amnesty Trade Gothic Light" w:eastAsia="Amnesty Trade Gothic Light" w:hAnsi="Amnesty Trade Gothic Light" w:cs="Amnesty Trade Gothic Light"/>
          <w:sz w:val="20"/>
          <w:szCs w:val="20"/>
          <w:bdr w:val="nil"/>
          <w:lang w:val="fr-FR"/>
        </w:rPr>
        <w:t>laisie qui revendiquent leurs droits à la terre et par les personnes qui les soutiennent, dans le contexte du développement et des défaillances de l'État s’agissant de la protection des peuples autochtones et de leurs terres.</w:t>
      </w:r>
    </w:p>
    <w:sectPr w:rsidR="001B7D74" w:rsidRPr="001B7D74" w:rsidSect="00831B45">
      <w:footerReference w:type="default" r:id="rId13"/>
      <w:headerReference w:type="first" r:id="rId14"/>
      <w:footerReference w:type="first" r:id="rId15"/>
      <w:pgSz w:w="11900" w:h="16840" w:code="9"/>
      <w:pgMar w:top="1588" w:right="794" w:bottom="1588" w:left="794" w:header="709" w:footer="851" w:gutter="0"/>
      <w:paperSrc w:first="259" w:other="2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751" w:rsidRDefault="00920751">
      <w:r>
        <w:separator/>
      </w:r>
    </w:p>
  </w:endnote>
  <w:endnote w:type="continuationSeparator" w:id="0">
    <w:p w:rsidR="00920751" w:rsidRDefault="0092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mnesty Trade Gothic Light">
    <w:altName w:val="Calibri"/>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mnesty Trade Gothic Cn">
    <w:altName w:val="Calibri"/>
    <w:charset w:val="00"/>
    <w:family w:val="swiss"/>
    <w:pitch w:val="variable"/>
    <w:sig w:usb0="800000AF" w:usb1="5000204A" w:usb2="00000000" w:usb3="00000000" w:csb0="0000009B"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mnesty Trade Gothic">
    <w:altName w:val="Calibri"/>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61B" w:rsidRPr="00B179F3" w:rsidRDefault="00920751" w:rsidP="004F3409">
    <w:pPr>
      <w:pStyle w:val="Pieddepage"/>
      <w:tabs>
        <w:tab w:val="clear" w:pos="4320"/>
        <w:tab w:val="clear" w:pos="8640"/>
        <w:tab w:val="left" w:pos="880"/>
      </w:tabs>
    </w:pP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241079</wp:posOffset>
              </wp:positionV>
              <wp:extent cx="1280160" cy="251460"/>
              <wp:effectExtent l="0" t="0" r="15240" b="15240"/>
              <wp:wrapNone/>
              <wp:docPr id="17" name="Text Box 17"/>
              <wp:cNvGraphicFramePr/>
              <a:graphic xmlns:a="http://schemas.openxmlformats.org/drawingml/2006/main">
                <a:graphicData uri="http://schemas.microsoft.com/office/word/2010/wordprocessingShape">
                  <wps:wsp>
                    <wps:cNvSpPr txBox="1"/>
                    <wps:spPr>
                      <a:xfrm>
                        <a:off x="0" y="0"/>
                        <a:ext cx="1280160" cy="251460"/>
                      </a:xfrm>
                      <a:prstGeom prst="rect">
                        <a:avLst/>
                      </a:prstGeom>
                      <a:noFill/>
                      <a:ln>
                        <a:noFill/>
                      </a:ln>
                      <a:effectLst/>
                      <a:extLst>
                        <a:ext uri="{C572A759-6A51-4108-AA02-DFA0A04FC94B}">
                          <ma14:wrappingTextBox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D061B" w:rsidRPr="00195BB5" w:rsidRDefault="00920751" w:rsidP="004F3409">
                          <w:pPr>
                            <w:pStyle w:val="BasicParagraph"/>
                            <w:spacing w:line="204" w:lineRule="auto"/>
                            <w:rPr>
                              <w:rFonts w:ascii="Amnesty Trade Gothic Cn" w:hAnsi="Amnesty Trade Gothic Cn"/>
                              <w:b/>
                            </w:rPr>
                          </w:pPr>
                          <w:r>
                            <w:rPr>
                              <w:rFonts w:ascii="Amnesty Trade Gothic Cn" w:eastAsia="Amnesty Trade Gothic Cn" w:hAnsi="Amnesty Trade Gothic Cn" w:cs="Amnesty Trade Gothic Cn"/>
                              <w:b/>
                              <w:bCs/>
                              <w:position w:val="4"/>
                              <w:sz w:val="20"/>
                              <w:szCs w:val="20"/>
                              <w:bdr w:val="nil"/>
                              <w:lang w:val="fr-FR"/>
                            </w:rPr>
                            <w:t>www.amnesty.org</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pt;margin-top:19pt;width:100.8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fq+lwIAAIcFAAAOAAAAZHJzL2Uyb0RvYy54bWysVMtu2zAQvBfoPxC8O5INOw8hcqA4cFEg&#10;SIMmRc40RcZCJZIlGUtu0X/vkJKcNO0lRS/Uajm73J19nF90TU12wrpKq5xOj1JKhOK6rNRjTr/c&#10;ryenlDjPVMlqrURO98LRi+X7d+etycRMb3VdCkvgRLmsNTndem+yJHF8KxrmjrQRCpdS24Z5/NrH&#10;pLSshfemTmZpepy02pbGai6cg/aqv6TL6F9Kwf0nKZ3wpM4pYvPxtPHchDNZnrPs0TKzrfgQBvuH&#10;KBpWKTx6cHXFPCNPtvrDVVNxq52W/ojrJtFSVlzEHJDNNH2Vzd2WGRFzATnOHGhy/88tv9ndWlKV&#10;qN0JJYo1qNG96Dy51B2BCvy0xmWA3RkAfQc9sKPeQRnS7qRtwhcJEdyD6f2B3eCNB6PZaTo9xhXH&#10;3WwxnUOG++TZ2ljnPwjdkCDk1KJ6kVS2u3a+h46Q8JjS66quYwVr9ZsCPnuNiC3QW7MMkUAMyBBT&#10;LM+P1eJkVpwszibHxWI6mU/T00lRpLPJ1bpIi3S+Xp3NL38OcY72SaCkTz1Kfl+L4LVWn4UEmZGB&#10;oIhtLFa1JTuGBmScC+UjeTFCoANKIou3GA74mEfM7y3GPSPjy1r5g3FTKW0j36/CLr+OIcsej6K9&#10;yDuIvtt0Q6tsdLlHp1jdz5ozfF2hnNfM+VtmMVzoACwM/wmHrHWbUz1IlGy1/f43fcCj53FLSYth&#10;zan79sSsoKT+qDANYbJHwY7CZhTUU7PSoH+KVWR4FGFgfT2K0urmAXukCK/giimOt3LqR3Hl+5WB&#10;PcRFUUQQ5tcwf63uDA+uQzVCc953D8yaoYM9OuZGj2PMsleN3GMHNnvehh9Me5yMYTOFdfLyP6Ke&#10;9+fyFwAAAP//AwBQSwMEFAAGAAgAAAAhAFZ9eLrcAAAABgEAAA8AAABkcnMvZG93bnJldi54bWxM&#10;j8FOwzAQRO9I/IO1SNyoTUBpCdlUVVVOSIg0HDg6sZtEjdchdtvw9ywnuM1qRjNv8/XsBnG2U+g9&#10;IdwvFAhLjTc9tQgf1cvdCkSImowePFmEbxtgXVxf5Toz/kKlPe9jK7iEQqYRuhjHTMrQdNbpsPCj&#10;JfYOfnI68jm10kz6wuVukIlSqXS6J17o9Gi3nW2O+5ND2HxSueu/3ur38lD2VfWk6DU9It7ezJtn&#10;ENHO8S8Mv/iMDgUz1f5EJogB4ZFzCA8rfojdRCUsaoTlMgVZ5PI/fvEDAAD//wMAUEsBAi0AFAAG&#10;AAgAAAAhALaDOJL+AAAA4QEAABMAAAAAAAAAAAAAAAAAAAAAAFtDb250ZW50X1R5cGVzXS54bWxQ&#10;SwECLQAUAAYACAAAACEAOP0h/9YAAACUAQAACwAAAAAAAAAAAAAAAAAvAQAAX3JlbHMvLnJlbHNQ&#10;SwECLQAUAAYACAAAACEA3an6vpcCAACHBQAADgAAAAAAAAAAAAAAAAAuAgAAZHJzL2Uyb0RvYy54&#10;bWxQSwECLQAUAAYACAAAACEAVn14utwAAAAGAQAADwAAAAAAAAAAAAAAAADxBAAAZHJzL2Rvd25y&#10;ZXYueG1sUEsFBgAAAAAEAAQA8wAAAPoFAAAAAA==&#10;" filled="f" stroked="f">
              <v:textbox inset="0,0,0,0">
                <w:txbxContent>
                  <w:p w:rsidR="003D061B" w:rsidRPr="00195BB5" w:rsidRDefault="00920751" w:rsidP="004F3409">
                    <w:pPr>
                      <w:pStyle w:val="BasicParagraph"/>
                      <w:spacing w:line="204" w:lineRule="auto"/>
                      <w:rPr>
                        <w:rFonts w:ascii="Amnesty Trade Gothic Cn" w:hAnsi="Amnesty Trade Gothic Cn"/>
                        <w:b/>
                      </w:rPr>
                    </w:pPr>
                    <w:r>
                      <w:rPr>
                        <w:rFonts w:ascii="Amnesty Trade Gothic Cn" w:eastAsia="Amnesty Trade Gothic Cn" w:hAnsi="Amnesty Trade Gothic Cn" w:cs="Amnesty Trade Gothic Cn"/>
                        <w:b/>
                        <w:bCs/>
                        <w:position w:val="4"/>
                        <w:sz w:val="20"/>
                        <w:szCs w:val="20"/>
                        <w:bdr w:val="nil"/>
                        <w:lang w:val="fr-FR"/>
                      </w:rPr>
                      <w:t>www.amnesty.org</w:t>
                    </w:r>
                  </w:p>
                </w:txbxContent>
              </v:textbox>
            </v:shape>
          </w:pict>
        </mc:Fallback>
      </mc:AlternateContent>
    </w:r>
    <w:r w:rsidRPr="00BE4F94">
      <w:rPr>
        <w:rStyle w:val="Lienhypertextesuivivisit"/>
        <w:rFonts w:asciiTheme="majorHAnsi" w:hAnsiTheme="majorHAnsi"/>
        <w:noProof/>
        <w:lang w:val="en-GB" w:eastAsia="en-GB"/>
      </w:rPr>
      <mc:AlternateContent>
        <mc:Choice Requires="wps">
          <w:drawing>
            <wp:anchor distT="45720" distB="45720" distL="114300" distR="114300" simplePos="0" relativeHeight="251672576" behindDoc="0" locked="0" layoutInCell="1" allowOverlap="1">
              <wp:simplePos x="0" y="0"/>
              <wp:positionH relativeFrom="column">
                <wp:posOffset>2067339</wp:posOffset>
              </wp:positionH>
              <wp:positionV relativeFrom="paragraph">
                <wp:posOffset>85615</wp:posOffset>
              </wp:positionV>
              <wp:extent cx="2609723" cy="1735328"/>
              <wp:effectExtent l="0" t="0" r="952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723" cy="1735328"/>
                      </a:xfrm>
                      <a:prstGeom prst="rect">
                        <a:avLst/>
                      </a:prstGeom>
                      <a:solidFill>
                        <a:srgbClr val="FFFFFF"/>
                      </a:solidFill>
                      <a:ln w="9525">
                        <a:noFill/>
                        <a:miter lim="800000"/>
                        <a:headEnd/>
                        <a:tailEnd/>
                      </a:ln>
                    </wps:spPr>
                    <wps:txbx>
                      <w:txbxContent>
                        <w:p w:rsidR="003D061B" w:rsidRPr="00BE4F94" w:rsidRDefault="00920751" w:rsidP="004F3409">
                          <w:pPr>
                            <w:jc w:val="center"/>
                            <w:rPr>
                              <w:sz w:val="16"/>
                              <w:szCs w:val="16"/>
                            </w:rPr>
                          </w:pPr>
                          <w:r w:rsidRPr="00BE4F94">
                            <w:rPr>
                              <w:rStyle w:val="Lienhypertextesuivivisit"/>
                              <w:rFonts w:asciiTheme="majorHAnsi" w:hAnsiTheme="majorHAnsi"/>
                              <w:sz w:val="16"/>
                              <w:szCs w:val="16"/>
                            </w:rPr>
                            <w:fldChar w:fldCharType="begin"/>
                          </w:r>
                          <w:r w:rsidRPr="00BE4F94">
                            <w:rPr>
                              <w:rStyle w:val="Lienhypertextesuivivisit"/>
                              <w:rFonts w:asciiTheme="majorHAnsi" w:hAnsiTheme="majorHAnsi"/>
                              <w:sz w:val="16"/>
                              <w:szCs w:val="16"/>
                            </w:rPr>
                            <w:instrText xml:space="preserve"> PAGE   \* MERGEFORMAT </w:instrText>
                          </w:r>
                          <w:r w:rsidRPr="00BE4F94">
                            <w:rPr>
                              <w:rStyle w:val="Lienhypertextesuivivisit"/>
                              <w:rFonts w:asciiTheme="majorHAnsi" w:hAnsiTheme="majorHAnsi"/>
                              <w:sz w:val="16"/>
                              <w:szCs w:val="16"/>
                            </w:rPr>
                            <w:fldChar w:fldCharType="separate"/>
                          </w:r>
                          <w:r w:rsidR="00ED025D">
                            <w:rPr>
                              <w:rStyle w:val="Lienhypertextesuivivisit"/>
                              <w:rFonts w:asciiTheme="majorHAnsi" w:hAnsiTheme="majorHAnsi"/>
                              <w:noProof/>
                              <w:sz w:val="16"/>
                              <w:szCs w:val="16"/>
                            </w:rPr>
                            <w:t>2</w:t>
                          </w:r>
                          <w:r w:rsidRPr="00BE4F94">
                            <w:rPr>
                              <w:rStyle w:val="Lienhypertextesuivivisit"/>
                              <w:rFonts w:asciiTheme="majorHAnsi" w:hAnsiTheme="majorHAnsi"/>
                              <w:sz w:val="16"/>
                              <w:szCs w:val="16"/>
                            </w:rPr>
                            <w:fldChar w:fldCharType="end"/>
                          </w:r>
                        </w:p>
                      </w:txbxContent>
                    </wps:txbx>
                    <wps:bodyPr rot="0" vert="horz" wrap="square"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162.8pt;margin-top:6.75pt;width:205.5pt;height:136.65pt;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HJDAIAAO8DAAAOAAAAZHJzL2Uyb0RvYy54bWysU9tuGyEQfa/Uf0C817u248RZeR2lTt2X&#10;9CIl/YAxy3pRgaGAvet+fQd8Sdq+VeUBDTBzZubMYXE3GM320geFtubjUcmZtAIbZbc1//a8fjfn&#10;LESwDWi0suYHGfjd8u2bRe8qOcEOdSM9IxAbqt7VvIvRVUURRCcNhBE6aemxRW8g0tFvi8ZDT+hG&#10;F5OyvC569I3zKGQIdPtwfOTLjN+2UsQvbRtkZLrmVFvMu8/7Ju3FcgHV1oPrlDiVAf9QhQFlKekF&#10;6gEisJ1Xf0EZJTwGbONIoCmwbZWQuQfqZlz+0c1TB07mXoic4C40hf8HKz7vv3qmmppfcWbB0Iie&#10;5RDZexzYVWKnd6EipydHbnGga5py7jS4RxTfA7O46sBu5b332HcSGqpunCKLV6FHnJBANv0nbCgN&#10;7CJmoKH1JlFHZDBCpykdLpNJpQi6nFyXtzeTKWeC3sY309l0Ms85oDqHOx/iR4mGJaPmnkaf4WH/&#10;GGIqB6qzS8oWUKtmrbTOB7/drLRneyCZrPM6of/mpi3ra347m8wyssUUnxVkVCQZa2VqPi/TSuFQ&#10;JTo+2CbbEZQ+2lSJtid+EiVHcuKwGfIgMnmJuw02ByLM41G19MvI6ND/5KwnxdY8/NiBl5yBFXRd&#10;83g2VzFLPLfm7onotcoUvKCe0pOqMjOnH5Bk+/qcvV7+6fIXAAAA//8DAFBLAwQUAAYACAAAACEA&#10;RIoN3OAAAAAKAQAADwAAAGRycy9kb3ducmV2LnhtbEyPTU/DMAyG70j8h8hIXNCWrtVKVZpO4+vC&#10;baOTOHpN1hYap2qyrfDr8U5wtN9Hrx8Xq8n24mRG3zlSsJhHIAzVTnfUKKjeX2cZCB+QNPaOjIJv&#10;42FVXl8VmGt3po05bUMjuIR8jgraEIZcSl+3xqKfu8EQZwc3Wgw8jo3UI5653PYyjqJUWuyIL7Q4&#10;mKfW1F/bo1Xw81g9r1/uwuIQh494t7FvVf2JSt3eTOsHEMFM4Q+Giz6rQ8lOe3ck7UWvIImXKaMc&#10;JEsQDNwnKS/2CuIszUCWhfz/QvkLAAD//wMAUEsBAi0AFAAGAAgAAAAhALaDOJL+AAAA4QEAABMA&#10;AAAAAAAAAAAAAAAAAAAAAFtDb250ZW50X1R5cGVzXS54bWxQSwECLQAUAAYACAAAACEAOP0h/9YA&#10;AACUAQAACwAAAAAAAAAAAAAAAAAvAQAAX3JlbHMvLnJlbHNQSwECLQAUAAYACAAAACEAAC3hyQwC&#10;AADvAwAADgAAAAAAAAAAAAAAAAAuAgAAZHJzL2Uyb0RvYy54bWxQSwECLQAUAAYACAAAACEARIoN&#10;3OAAAAAKAQAADwAAAAAAAAAAAAAAAABmBAAAZHJzL2Rvd25yZXYueG1sUEsFBgAAAAAEAAQA8wAA&#10;AHMFAAAAAA==&#10;" stroked="f">
              <v:textbox style="mso-fit-shape-to-text:t">
                <w:txbxContent>
                  <w:p w:rsidR="003D061B" w:rsidRPr="00BE4F94" w:rsidRDefault="00920751" w:rsidP="004F3409">
                    <w:pPr>
                      <w:jc w:val="center"/>
                      <w:rPr>
                        <w:sz w:val="16"/>
                        <w:szCs w:val="16"/>
                      </w:rPr>
                    </w:pPr>
                    <w:r w:rsidRPr="00BE4F94">
                      <w:rPr>
                        <w:rStyle w:val="Lienhypertextesuivivisit"/>
                        <w:rFonts w:asciiTheme="majorHAnsi" w:hAnsiTheme="majorHAnsi"/>
                        <w:sz w:val="16"/>
                        <w:szCs w:val="16"/>
                      </w:rPr>
                      <w:fldChar w:fldCharType="begin"/>
                    </w:r>
                    <w:r w:rsidRPr="00BE4F94">
                      <w:rPr>
                        <w:rStyle w:val="Lienhypertextesuivivisit"/>
                        <w:rFonts w:asciiTheme="majorHAnsi" w:hAnsiTheme="majorHAnsi"/>
                        <w:sz w:val="16"/>
                        <w:szCs w:val="16"/>
                      </w:rPr>
                      <w:instrText xml:space="preserve"> PAGE   \* MERGEFORMAT </w:instrText>
                    </w:r>
                    <w:r w:rsidRPr="00BE4F94">
                      <w:rPr>
                        <w:rStyle w:val="Lienhypertextesuivivisit"/>
                        <w:rFonts w:asciiTheme="majorHAnsi" w:hAnsiTheme="majorHAnsi"/>
                        <w:sz w:val="16"/>
                        <w:szCs w:val="16"/>
                      </w:rPr>
                      <w:fldChar w:fldCharType="separate"/>
                    </w:r>
                    <w:r w:rsidR="00ED025D">
                      <w:rPr>
                        <w:rStyle w:val="Lienhypertextesuivivisit"/>
                        <w:rFonts w:asciiTheme="majorHAnsi" w:hAnsiTheme="majorHAnsi"/>
                        <w:noProof/>
                        <w:sz w:val="16"/>
                        <w:szCs w:val="16"/>
                      </w:rPr>
                      <w:t>2</w:t>
                    </w:r>
                    <w:r w:rsidRPr="00BE4F94">
                      <w:rPr>
                        <w:rStyle w:val="Lienhypertextesuivivisit"/>
                        <w:rFonts w:asciiTheme="majorHAnsi" w:hAnsiTheme="majorHAnsi"/>
                        <w:sz w:val="16"/>
                        <w:szCs w:val="16"/>
                      </w:rPr>
                      <w:fldChar w:fldCharType="end"/>
                    </w:r>
                  </w:p>
                </w:txbxContent>
              </v:textbox>
              <w10:wrap type="square"/>
            </v:shape>
          </w:pict>
        </mc:Fallback>
      </mc:AlternateContent>
    </w:r>
    <w:r>
      <w:rPr>
        <w:noProof/>
        <w:lang w:val="en-GB" w:eastAsia="en-GB"/>
      </w:rPr>
      <w:drawing>
        <wp:anchor distT="0" distB="0" distL="114300" distR="114300" simplePos="0" relativeHeight="251660288" behindDoc="0" locked="1" layoutInCell="1" allowOverlap="1">
          <wp:simplePos x="0" y="0"/>
          <wp:positionH relativeFrom="page">
            <wp:posOffset>6115050</wp:posOffset>
          </wp:positionH>
          <wp:positionV relativeFrom="page">
            <wp:posOffset>9883140</wp:posOffset>
          </wp:positionV>
          <wp:extent cx="1064895" cy="450850"/>
          <wp:effectExtent l="0" t="0" r="190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952795" name="Logofooter600.jpg"/>
                  <pic:cNvPicPr/>
                </pic:nvPicPr>
                <pic:blipFill>
                  <a:blip r:embed="rId1">
                    <a:extLst>
                      <a:ext uri="{28A0092B-C50C-407E-A947-70E740481C1C}">
                        <a14:useLocalDpi xmlns:a14="http://schemas.microsoft.com/office/drawing/2010/main" val="0"/>
                      </a:ext>
                    </a:extLst>
                  </a:blip>
                  <a:stretch>
                    <a:fillRect/>
                  </a:stretch>
                </pic:blipFill>
                <pic:spPr>
                  <a:xfrm>
                    <a:off x="0" y="0"/>
                    <a:ext cx="1064895" cy="450850"/>
                  </a:xfrm>
                  <a:prstGeom prst="rect">
                    <a:avLst/>
                  </a:prstGeom>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a:ext>
                  </a:extLst>
                </pic:spPr>
              </pic:pic>
            </a:graphicData>
          </a:graphic>
          <wp14:sizeRelH relativeFrom="page">
            <wp14:pctWidth>0</wp14:pctWidth>
          </wp14:sizeRelH>
          <wp14:sizeRelV relativeFrom="page">
            <wp14:pctHeight>0</wp14:pctHeight>
          </wp14:sizeRelV>
        </wp:anchor>
      </w:drawing>
    </w:r>
    <w:proofErr w:type="spellStart"/>
    <w:r w:rsidR="003B7D06">
      <w:t>Déclaration</w:t>
    </w:r>
    <w:proofErr w:type="spellEnd"/>
    <w:r w:rsidR="003B7D06">
      <w:t xml:space="preserve"> </w:t>
    </w:r>
    <w:proofErr w:type="spellStart"/>
    <w:r w:rsidR="003B7D06">
      <w:t>publique</w:t>
    </w:r>
    <w:proofErr w:type="spellEnd"/>
    <w:r w:rsidR="003B7D06">
      <w:t>/Amnesty International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61B" w:rsidRPr="00D550EA" w:rsidRDefault="003B7D06" w:rsidP="00D550EA">
    <w:pPr>
      <w:pStyle w:val="Pieddepage"/>
      <w:rPr>
        <w:rStyle w:val="Lienhypertextesuivivisit"/>
        <w:rFonts w:asciiTheme="majorHAnsi" w:hAnsiTheme="majorHAnsi"/>
      </w:rPr>
    </w:pPr>
    <w:r>
      <w:rPr>
        <w:rStyle w:val="Lienhypertextesuivivisit"/>
        <w:rFonts w:ascii="Amnesty Trade Gothic Cn" w:eastAsia="Amnesty Trade Gothic Cn" w:hAnsi="Amnesty Trade Gothic Cn" w:cs="Amnesty Trade Gothic Cn"/>
        <w:color w:val="000000"/>
        <w:szCs w:val="16"/>
        <w:bdr w:val="nil"/>
        <w:lang w:val="fr-FR"/>
      </w:rPr>
      <w:t>Déclaration publique</w:t>
    </w:r>
    <w:r w:rsidR="00920751" w:rsidRPr="00BE4F94">
      <w:rPr>
        <w:rStyle w:val="Lienhypertextesuivivisit"/>
        <w:rFonts w:asciiTheme="majorHAnsi" w:hAnsiTheme="majorHAnsi"/>
        <w:noProof/>
        <w:lang w:val="en-GB" w:eastAsia="en-GB"/>
      </w:rPr>
      <mc:AlternateContent>
        <mc:Choice Requires="wps">
          <w:drawing>
            <wp:anchor distT="45720" distB="45720" distL="114300" distR="114300" simplePos="0" relativeHeight="251670528" behindDoc="0" locked="0" layoutInCell="1" allowOverlap="1">
              <wp:simplePos x="0" y="0"/>
              <wp:positionH relativeFrom="column">
                <wp:posOffset>1960714</wp:posOffset>
              </wp:positionH>
              <wp:positionV relativeFrom="paragraph">
                <wp:posOffset>-16234</wp:posOffset>
              </wp:positionV>
              <wp:extent cx="2609723" cy="1735328"/>
              <wp:effectExtent l="0" t="0" r="952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723" cy="1735328"/>
                      </a:xfrm>
                      <a:prstGeom prst="rect">
                        <a:avLst/>
                      </a:prstGeom>
                      <a:solidFill>
                        <a:srgbClr val="FFFFFF"/>
                      </a:solidFill>
                      <a:ln w="9525">
                        <a:noFill/>
                        <a:miter lim="800000"/>
                        <a:headEnd/>
                        <a:tailEnd/>
                      </a:ln>
                    </wps:spPr>
                    <wps:txbx>
                      <w:txbxContent>
                        <w:p w:rsidR="003D061B" w:rsidRPr="00BE4F94" w:rsidRDefault="00920751" w:rsidP="004F3409">
                          <w:pPr>
                            <w:jc w:val="center"/>
                            <w:rPr>
                              <w:sz w:val="16"/>
                              <w:szCs w:val="16"/>
                            </w:rPr>
                          </w:pPr>
                          <w:r w:rsidRPr="00BE4F94">
                            <w:rPr>
                              <w:rStyle w:val="Lienhypertextesuivivisit"/>
                              <w:rFonts w:asciiTheme="majorHAnsi" w:hAnsiTheme="majorHAnsi"/>
                              <w:sz w:val="16"/>
                              <w:szCs w:val="16"/>
                            </w:rPr>
                            <w:fldChar w:fldCharType="begin"/>
                          </w:r>
                          <w:r w:rsidRPr="00BE4F94">
                            <w:rPr>
                              <w:rStyle w:val="Lienhypertextesuivivisit"/>
                              <w:rFonts w:asciiTheme="majorHAnsi" w:hAnsiTheme="majorHAnsi"/>
                              <w:sz w:val="16"/>
                              <w:szCs w:val="16"/>
                            </w:rPr>
                            <w:instrText xml:space="preserve"> PAGE   \* MERGEFORMAT </w:instrText>
                          </w:r>
                          <w:r w:rsidRPr="00BE4F94">
                            <w:rPr>
                              <w:rStyle w:val="Lienhypertextesuivivisit"/>
                              <w:rFonts w:asciiTheme="majorHAnsi" w:hAnsiTheme="majorHAnsi"/>
                              <w:sz w:val="16"/>
                              <w:szCs w:val="16"/>
                            </w:rPr>
                            <w:fldChar w:fldCharType="separate"/>
                          </w:r>
                          <w:r w:rsidR="00ED025D">
                            <w:rPr>
                              <w:rStyle w:val="Lienhypertextesuivivisit"/>
                              <w:rFonts w:asciiTheme="majorHAnsi" w:hAnsiTheme="majorHAnsi"/>
                              <w:noProof/>
                              <w:sz w:val="16"/>
                              <w:szCs w:val="16"/>
                            </w:rPr>
                            <w:t>1</w:t>
                          </w:r>
                          <w:r w:rsidRPr="00BE4F94">
                            <w:rPr>
                              <w:rStyle w:val="Lienhypertextesuivivisit"/>
                              <w:rFonts w:asciiTheme="majorHAnsi" w:hAnsiTheme="majorHAnsi"/>
                              <w:sz w:val="16"/>
                              <w:szCs w:val="16"/>
                            </w:rPr>
                            <w:fldChar w:fldCharType="end"/>
                          </w:r>
                        </w:p>
                      </w:txbxContent>
                    </wps:txbx>
                    <wps:bodyPr rot="0" vert="horz" wrap="square"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154.4pt;margin-top:-1.3pt;width:205.5pt;height:136.65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jGDAIAAO8DAAAOAAAAZHJzL2Uyb0RvYy54bWysU01vGyEQvVfqf0Dc613bdeKsvI5Sp+4l&#10;TSsl/QFjlvWiAkMBe9f99R3wR9L2VpUDGmDmzcybx+J2MJrtpQ8Kbc3Ho5IzaQU2ym5r/u15/W7O&#10;WYhgG9BoZc0PMvDb5ds3i95VcoId6kZ6RiA2VL2reRejq4oiiE4aCCN00tJji95ApKPfFo2HntCN&#10;LiZleVX06BvnUcgQ6Pb++MiXGb9tpYhf2jbIyHTNqbaYd5/3TdqL5QKqrQfXKXEqA/6hCgPKUtIL&#10;1D1EYDuv/oIySngM2MaRQFNg2yohcw/Uzbj8o5unDpzMvRA5wV1oCv8PVjzuv3qmmppPObNgaETP&#10;cojsAw5smtjpXajI6cmRWxzomqacOw3uAcX3wCyuOrBbeec99p2Ehqobp8jiVegRJySQTf8ZG0oD&#10;u4gZaGi9SdQRGYzQaUqHy2RSKYIuJ1flzfWEShT0Nr6ezqaTec4B1Tnc+RA/STQsGTX3NPoMD/uH&#10;EFM5UJ1dUraAWjVrpXU++O1mpT3bA8lkndcJ/Tc3bVlf85vZZJaRLab4rCCjIslYK1PzeZlWCocq&#10;0fHRNtmOoPTRpkq0PfGTKDmSE4fNkAfxPsUm7jbYHIgwj0fV0i8jo0P/k7OeFFvz8GMHXnIGVtB1&#10;zePZXMUs8dyauyOi1ypT8IJ6Sk+qysycfkCS7etz9nr5p8tfAAAA//8DAFBLAwQUAAYACAAAACEA&#10;4WmvxeEAAAAKAQAADwAAAGRycy9kb3ducmV2LnhtbEyPzU7DMBCE70i8g7VIXFBrJ0hNCdlU5e/C&#10;rSVIHN14mwTidRS7beDpcU9w3NnRzDfFarK9ONLoO8cIyVyBIK6d6bhBqN5eZksQPmg2undMCN/k&#10;YVVeXhQ6N+7EGzpuQyNiCPtcI7QhDLmUvm7Jaj93A3H87d1odYjn2Egz6lMMt71MlVpIqzuODa0e&#10;6LGl+mt7sAg/D9XT+vkmJPs0fKTvG/ta1Z8a8fpqWt+DCDSFPzOc8SM6lJFp5w5svOgRbtUyogeE&#10;WboAEQ1ZcheFHUKaqQxkWcj/E8pfAAAA//8DAFBLAQItABQABgAIAAAAIQC2gziS/gAAAOEBAAAT&#10;AAAAAAAAAAAAAAAAAAAAAABbQ29udGVudF9UeXBlc10ueG1sUEsBAi0AFAAGAAgAAAAhADj9If/W&#10;AAAAlAEAAAsAAAAAAAAAAAAAAAAALwEAAF9yZWxzLy5yZWxzUEsBAi0AFAAGAAgAAAAhAAhaiMYM&#10;AgAA7wMAAA4AAAAAAAAAAAAAAAAALgIAAGRycy9lMm9Eb2MueG1sUEsBAi0AFAAGAAgAAAAhAOFp&#10;r8XhAAAACgEAAA8AAAAAAAAAAAAAAAAAZgQAAGRycy9kb3ducmV2LnhtbFBLBQYAAAAABAAEAPMA&#10;AAB0BQAAAAA=&#10;" stroked="f">
              <v:textbox style="mso-fit-shape-to-text:t">
                <w:txbxContent>
                  <w:p w:rsidR="003D061B" w:rsidRPr="00BE4F94" w:rsidRDefault="00920751" w:rsidP="004F3409">
                    <w:pPr>
                      <w:jc w:val="center"/>
                      <w:rPr>
                        <w:sz w:val="16"/>
                        <w:szCs w:val="16"/>
                      </w:rPr>
                    </w:pPr>
                    <w:r w:rsidRPr="00BE4F94">
                      <w:rPr>
                        <w:rStyle w:val="Lienhypertextesuivivisit"/>
                        <w:rFonts w:asciiTheme="majorHAnsi" w:hAnsiTheme="majorHAnsi"/>
                        <w:sz w:val="16"/>
                        <w:szCs w:val="16"/>
                      </w:rPr>
                      <w:fldChar w:fldCharType="begin"/>
                    </w:r>
                    <w:r w:rsidRPr="00BE4F94">
                      <w:rPr>
                        <w:rStyle w:val="Lienhypertextesuivivisit"/>
                        <w:rFonts w:asciiTheme="majorHAnsi" w:hAnsiTheme="majorHAnsi"/>
                        <w:sz w:val="16"/>
                        <w:szCs w:val="16"/>
                      </w:rPr>
                      <w:instrText xml:space="preserve"> PAGE   \* MERGEFORMAT </w:instrText>
                    </w:r>
                    <w:r w:rsidRPr="00BE4F94">
                      <w:rPr>
                        <w:rStyle w:val="Lienhypertextesuivivisit"/>
                        <w:rFonts w:asciiTheme="majorHAnsi" w:hAnsiTheme="majorHAnsi"/>
                        <w:sz w:val="16"/>
                        <w:szCs w:val="16"/>
                      </w:rPr>
                      <w:fldChar w:fldCharType="separate"/>
                    </w:r>
                    <w:r w:rsidR="00ED025D">
                      <w:rPr>
                        <w:rStyle w:val="Lienhypertextesuivivisit"/>
                        <w:rFonts w:asciiTheme="majorHAnsi" w:hAnsiTheme="majorHAnsi"/>
                        <w:noProof/>
                        <w:sz w:val="16"/>
                        <w:szCs w:val="16"/>
                      </w:rPr>
                      <w:t>1</w:t>
                    </w:r>
                    <w:r w:rsidRPr="00BE4F94">
                      <w:rPr>
                        <w:rStyle w:val="Lienhypertextesuivivisit"/>
                        <w:rFonts w:asciiTheme="majorHAnsi" w:hAnsiTheme="majorHAnsi"/>
                        <w:sz w:val="16"/>
                        <w:szCs w:val="16"/>
                      </w:rPr>
                      <w:fldChar w:fldCharType="end"/>
                    </w:r>
                  </w:p>
                </w:txbxContent>
              </v:textbox>
              <w10:wrap type="square"/>
            </v:shape>
          </w:pict>
        </mc:Fallback>
      </mc:AlternateContent>
    </w:r>
    <w:r w:rsidR="00920751" w:rsidRPr="00BE4F94">
      <w:rPr>
        <w:rStyle w:val="Lienhypertextesuivivisit"/>
        <w:rFonts w:asciiTheme="majorHAnsi" w:hAnsiTheme="majorHAnsi"/>
        <w:noProof/>
        <w:lang w:val="en-GB" w:eastAsia="en-GB"/>
      </w:rPr>
      <mc:AlternateContent>
        <mc:Choice Requires="wps">
          <w:drawing>
            <wp:anchor distT="45720" distB="45720" distL="114300" distR="114300" simplePos="0" relativeHeight="251668480" behindDoc="0" locked="0" layoutInCell="1" allowOverlap="1">
              <wp:simplePos x="0" y="0"/>
              <wp:positionH relativeFrom="column">
                <wp:posOffset>1964690</wp:posOffset>
              </wp:positionH>
              <wp:positionV relativeFrom="paragraph">
                <wp:posOffset>-16337</wp:posOffset>
              </wp:positionV>
              <wp:extent cx="2609723" cy="1735328"/>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723" cy="1735328"/>
                      </a:xfrm>
                      <a:prstGeom prst="rect">
                        <a:avLst/>
                      </a:prstGeom>
                      <a:solidFill>
                        <a:srgbClr val="FFFFFF"/>
                      </a:solidFill>
                      <a:ln w="9525">
                        <a:noFill/>
                        <a:miter lim="800000"/>
                        <a:headEnd/>
                        <a:tailEnd/>
                      </a:ln>
                    </wps:spPr>
                    <wps:txbx>
                      <w:txbxContent>
                        <w:p w:rsidR="003D061B" w:rsidRPr="00BE4F94" w:rsidRDefault="00920751" w:rsidP="00BE4F94">
                          <w:pPr>
                            <w:jc w:val="center"/>
                            <w:rPr>
                              <w:sz w:val="16"/>
                              <w:szCs w:val="16"/>
                            </w:rPr>
                          </w:pPr>
                          <w:r w:rsidRPr="00BE4F94">
                            <w:rPr>
                              <w:rStyle w:val="Lienhypertextesuivivisit"/>
                              <w:rFonts w:asciiTheme="majorHAnsi" w:hAnsiTheme="majorHAnsi"/>
                              <w:sz w:val="16"/>
                              <w:szCs w:val="16"/>
                            </w:rPr>
                            <w:fldChar w:fldCharType="begin"/>
                          </w:r>
                          <w:r w:rsidRPr="00BE4F94">
                            <w:rPr>
                              <w:rStyle w:val="Lienhypertextesuivivisit"/>
                              <w:rFonts w:asciiTheme="majorHAnsi" w:hAnsiTheme="majorHAnsi"/>
                              <w:sz w:val="16"/>
                              <w:szCs w:val="16"/>
                            </w:rPr>
                            <w:instrText xml:space="preserve"> PAGE   \* MERGEFORMAT </w:instrText>
                          </w:r>
                          <w:r w:rsidRPr="00BE4F94">
                            <w:rPr>
                              <w:rStyle w:val="Lienhypertextesuivivisit"/>
                              <w:rFonts w:asciiTheme="majorHAnsi" w:hAnsiTheme="majorHAnsi"/>
                              <w:sz w:val="16"/>
                              <w:szCs w:val="16"/>
                            </w:rPr>
                            <w:fldChar w:fldCharType="separate"/>
                          </w:r>
                          <w:r w:rsidR="00ED025D">
                            <w:rPr>
                              <w:rStyle w:val="Lienhypertextesuivivisit"/>
                              <w:rFonts w:asciiTheme="majorHAnsi" w:hAnsiTheme="majorHAnsi"/>
                              <w:noProof/>
                              <w:sz w:val="16"/>
                              <w:szCs w:val="16"/>
                            </w:rPr>
                            <w:t>1</w:t>
                          </w:r>
                          <w:r w:rsidRPr="00BE4F94">
                            <w:rPr>
                              <w:rStyle w:val="Lienhypertextesuivivisit"/>
                              <w:rFonts w:asciiTheme="majorHAnsi" w:hAnsiTheme="majorHAnsi"/>
                              <w:sz w:val="16"/>
                              <w:szCs w:val="16"/>
                            </w:rPr>
                            <w:fldChar w:fldCharType="end"/>
                          </w:r>
                        </w:p>
                      </w:txbxContent>
                    </wps:txbx>
                    <wps:bodyPr rot="0" vert="horz" wrap="square"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154.7pt;margin-top:-1.3pt;width:205.5pt;height:136.65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GCwIAAO8DAAAOAAAAZHJzL2Uyb0RvYy54bWysU9uO2yAQfa/Uf0C8N3YcZS9WnNU22/Rl&#10;e5F2+wETjGNUYCiQ2OnXdyCX3bZvVXlAA8ycmTlzWNyNRrO99EGhbfh0UnImrcBW2W3Dvz2v391w&#10;FiLYFjRa2fCDDPxu+fbNYnC1rLBH3UrPCMSGenAN72N0dVEE0UsDYYJOWnrs0BuIdPTbovUwELrR&#10;RVWWV8WAvnUehQyBbh+Oj3yZ8btOivil64KMTDecaot593nfpL1YLqDeenC9Eqcy4B+qMKAsJb1A&#10;PUAEtvPqLyijhMeAXZwINAV2nRIy90DdTMs/unnqwcncC5ET3IWm8P9gxef9V89U2/CKMwuGRvQs&#10;x8je48iqxM7gQk1OT47c4kjXNOXcaXCPKL4HZnHVg93Ke+9x6CW0VN00RRavQo84IYFshk/YUhrY&#10;RcxAY+dNoo7IYIROUzpcJpNKEXRZXZW319WMM0Fv0+vZfFbd5BxQn8OdD/GjRMOS0XBPo8/wsH8M&#10;MZUD9dklZQuoVbtWWueD325W2rM9kEzWeZ3Qf3PTlg0Nv51X84xsMcVnBRkVScZamYbflGmlcKgT&#10;HR9sm+0ISh9tqkTbEz+JkiM5cdyMeRDzFJu422B7IMI8HlVLv4yMHv1PzgZSbMPDjx14yRlYQdcN&#10;j2dzFbPEc2vunoheq0zBC+opPakqM3P6AUm2r8/Z6+WfLn8BAAD//wMAUEsDBBQABgAIAAAAIQAk&#10;LUnH4QAAAAoBAAAPAAAAZHJzL2Rvd25yZXYueG1sTI9NT8MwDIbvSPyHyEhc0JYsoHWUutP4uuy2&#10;0UkcvTZrC41TNdlW+PWEExxtP3r9vNlytJ04mcG3jhFmUwXCcOmqlmuE4u11sgDhA3FFnWOD8GU8&#10;LPPLi4zSyp15Y07bUIsYwj4lhCaEPpXSl42x5KeuNxxvBzdYCnEcalkNdI7htpNaqbm01HL80FBv&#10;nhpTfm6PFuH7sXhevdyE2UGHd73b2HVRfhDi9dW4egARzBj+YPjVj+qQR6e9O3LlRYdwq+7vIoow&#10;0XMQEUi0ios9gk5UAjLP5P8K+Q8AAAD//wMAUEsBAi0AFAAGAAgAAAAhALaDOJL+AAAA4QEAABMA&#10;AAAAAAAAAAAAAAAAAAAAAFtDb250ZW50X1R5cGVzXS54bWxQSwECLQAUAAYACAAAACEAOP0h/9YA&#10;AACUAQAACwAAAAAAAAAAAAAAAAAvAQAAX3JlbHMvLnJlbHNQSwECLQAUAAYACAAAACEAqzzfxgsC&#10;AADvAwAADgAAAAAAAAAAAAAAAAAuAgAAZHJzL2Uyb0RvYy54bWxQSwECLQAUAAYACAAAACEAJC1J&#10;x+EAAAAKAQAADwAAAAAAAAAAAAAAAABlBAAAZHJzL2Rvd25yZXYueG1sUEsFBgAAAAAEAAQA8wAA&#10;AHMFAAAAAA==&#10;" stroked="f">
              <v:textbox style="mso-fit-shape-to-text:t">
                <w:txbxContent>
                  <w:p w:rsidR="003D061B" w:rsidRPr="00BE4F94" w:rsidRDefault="00920751" w:rsidP="00BE4F94">
                    <w:pPr>
                      <w:jc w:val="center"/>
                      <w:rPr>
                        <w:sz w:val="16"/>
                        <w:szCs w:val="16"/>
                      </w:rPr>
                    </w:pPr>
                    <w:r w:rsidRPr="00BE4F94">
                      <w:rPr>
                        <w:rStyle w:val="Lienhypertextesuivivisit"/>
                        <w:rFonts w:asciiTheme="majorHAnsi" w:hAnsiTheme="majorHAnsi"/>
                        <w:sz w:val="16"/>
                        <w:szCs w:val="16"/>
                      </w:rPr>
                      <w:fldChar w:fldCharType="begin"/>
                    </w:r>
                    <w:r w:rsidRPr="00BE4F94">
                      <w:rPr>
                        <w:rStyle w:val="Lienhypertextesuivivisit"/>
                        <w:rFonts w:asciiTheme="majorHAnsi" w:hAnsiTheme="majorHAnsi"/>
                        <w:sz w:val="16"/>
                        <w:szCs w:val="16"/>
                      </w:rPr>
                      <w:instrText xml:space="preserve"> PAGE   \* MERGEFORMAT </w:instrText>
                    </w:r>
                    <w:r w:rsidRPr="00BE4F94">
                      <w:rPr>
                        <w:rStyle w:val="Lienhypertextesuivivisit"/>
                        <w:rFonts w:asciiTheme="majorHAnsi" w:hAnsiTheme="majorHAnsi"/>
                        <w:sz w:val="16"/>
                        <w:szCs w:val="16"/>
                      </w:rPr>
                      <w:fldChar w:fldCharType="separate"/>
                    </w:r>
                    <w:r w:rsidR="00ED025D">
                      <w:rPr>
                        <w:rStyle w:val="Lienhypertextesuivivisit"/>
                        <w:rFonts w:asciiTheme="majorHAnsi" w:hAnsiTheme="majorHAnsi"/>
                        <w:noProof/>
                        <w:sz w:val="16"/>
                        <w:szCs w:val="16"/>
                      </w:rPr>
                      <w:t>1</w:t>
                    </w:r>
                    <w:r w:rsidRPr="00BE4F94">
                      <w:rPr>
                        <w:rStyle w:val="Lienhypertextesuivivisit"/>
                        <w:rFonts w:asciiTheme="majorHAnsi" w:hAnsiTheme="majorHAnsi"/>
                        <w:sz w:val="16"/>
                        <w:szCs w:val="16"/>
                      </w:rPr>
                      <w:fldChar w:fldCharType="end"/>
                    </w:r>
                  </w:p>
                </w:txbxContent>
              </v:textbox>
              <w10:wrap type="square"/>
            </v:shape>
          </w:pict>
        </mc:Fallback>
      </mc:AlternateContent>
    </w:r>
    <w:r>
      <w:rPr>
        <w:rStyle w:val="Lienhypertextesuivivisit"/>
        <w:rFonts w:asciiTheme="majorHAnsi" w:hAnsiTheme="majorHAnsi"/>
        <w:noProof/>
        <w:lang w:val="en-GB" w:eastAsia="en-GB"/>
      </w:rPr>
      <w:t>/</w:t>
    </w:r>
    <w:r w:rsidR="00920751">
      <w:rPr>
        <w:rStyle w:val="Lienhypertextesuivivisit"/>
        <w:rFonts w:ascii="Amnesty Trade Gothic Cn" w:eastAsia="Amnesty Trade Gothic Cn" w:hAnsi="Amnesty Trade Gothic Cn" w:cs="Amnesty Trade Gothic Cn"/>
        <w:color w:val="000000"/>
        <w:szCs w:val="16"/>
        <w:bdr w:val="nil"/>
        <w:lang w:val="fr-FR"/>
      </w:rPr>
      <w:t>Amnesty International</w:t>
    </w:r>
    <w:r w:rsidR="00920751">
      <w:rPr>
        <w:rStyle w:val="Lienhypertextesuivivisit"/>
        <w:rFonts w:ascii="Amnesty Trade Gothic Cn" w:eastAsia="Amnesty Trade Gothic Cn" w:hAnsi="Amnesty Trade Gothic Cn" w:cs="Amnesty Trade Gothic Cn"/>
        <w:color w:val="000000"/>
        <w:szCs w:val="16"/>
        <w:bdr w:val="nil"/>
        <w:lang w:val="fr-FR"/>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751" w:rsidRDefault="00920751">
      <w:r>
        <w:separator/>
      </w:r>
    </w:p>
  </w:footnote>
  <w:footnote w:type="continuationSeparator" w:id="0">
    <w:p w:rsidR="00920751" w:rsidRDefault="00920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61B" w:rsidRDefault="00920751" w:rsidP="00B11FC5">
    <w:pPr>
      <w:pStyle w:val="En-tte"/>
      <w:tabs>
        <w:tab w:val="clear" w:pos="4320"/>
        <w:tab w:val="clear" w:pos="8640"/>
        <w:tab w:val="left" w:pos="9050"/>
      </w:tabs>
      <w:spacing w:after="1500"/>
    </w:pPr>
    <w:r>
      <w:rPr>
        <w:noProof/>
        <w:lang w:val="en-GB" w:eastAsia="en-GB"/>
      </w:rPr>
      <mc:AlternateContent>
        <mc:Choice Requires="wps">
          <w:drawing>
            <wp:anchor distT="45720" distB="45720" distL="114300" distR="114300" simplePos="0" relativeHeight="251666432" behindDoc="0" locked="0" layoutInCell="1" allowOverlap="1">
              <wp:simplePos x="0" y="0"/>
              <wp:positionH relativeFrom="column">
                <wp:posOffset>-85090</wp:posOffset>
              </wp:positionH>
              <wp:positionV relativeFrom="paragraph">
                <wp:posOffset>749935</wp:posOffset>
              </wp:positionV>
              <wp:extent cx="6225540" cy="371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371475"/>
                      </a:xfrm>
                      <a:prstGeom prst="rect">
                        <a:avLst/>
                      </a:prstGeom>
                      <a:noFill/>
                      <a:ln w="9525">
                        <a:noFill/>
                        <a:miter lim="800000"/>
                        <a:headEnd/>
                        <a:tailEnd/>
                      </a:ln>
                    </wps:spPr>
                    <wps:txbx>
                      <w:txbxContent>
                        <w:p w:rsidR="003B7D06" w:rsidRPr="00330889" w:rsidRDefault="003B7D06" w:rsidP="003B7D06">
                          <w:pPr>
                            <w:rPr>
                              <w:rFonts w:asciiTheme="majorHAnsi" w:hAnsiTheme="majorHAnsi"/>
                              <w:b/>
                              <w:bCs/>
                              <w:caps/>
                              <w:color w:val="999999" w:themeColor="accent4"/>
                              <w:sz w:val="32"/>
                              <w:szCs w:val="32"/>
                            </w:rPr>
                          </w:pPr>
                          <w:r>
                            <w:rPr>
                              <w:rFonts w:ascii="Amnesty Trade Gothic Cn" w:eastAsia="Amnesty Trade Gothic Cn" w:hAnsi="Amnesty Trade Gothic Cn" w:cs="Amnesty Trade Gothic Cn"/>
                              <w:b/>
                              <w:bCs/>
                              <w:caps/>
                              <w:color w:val="999999"/>
                              <w:sz w:val="32"/>
                              <w:szCs w:val="32"/>
                              <w:bdr w:val="nil"/>
                              <w:lang w:val="fr-FR"/>
                            </w:rPr>
                            <w:t xml:space="preserve">Déclaration publique – Amnesty International </w:t>
                          </w:r>
                        </w:p>
                        <w:p w:rsidR="003D061B" w:rsidRPr="00330889" w:rsidRDefault="003D061B">
                          <w:pPr>
                            <w:rPr>
                              <w:rFonts w:asciiTheme="majorHAnsi" w:hAnsiTheme="majorHAnsi"/>
                              <w:b/>
                              <w:bCs/>
                              <w:caps/>
                              <w:color w:val="999999" w:themeColor="accent4"/>
                              <w:sz w:val="32"/>
                              <w:szCs w:val="32"/>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6.7pt;margin-top:59.05pt;width:490.2pt;height:29.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Gm6wEAAK0DAAAOAAAAZHJzL2Uyb0RvYy54bWysU8Fu2zAMvQ/YPwi6L068pumMOMXWrrt0&#10;3YB2H8DIcixMEjVJiZ19/Sg5zoLtNswHgSbFR75Han07GM0O0geFtuaL2ZwzaQU2yu5q/u3l4c0N&#10;ZyGCbUCjlTU/ysBvN69frXtXyRI71I30jEBsqHpX8y5GVxVFEJ00EGbopKVgi95ApF+/KxoPPaEb&#10;XZTz+XXRo2+cRyFDIO/9GOSbjN+2UsQvbRtkZLrm1FvMp8/nNp3FZg3VzoPrlDi1Af/QhQFlqegZ&#10;6h4isL1Xf0EZJTwGbONMoCmwbZWQmQOxWcz/YPPcgZOZC4kT3Fmm8P9gxdPhq2eqqXm5WHFmwdCQ&#10;XuQQ2QccWJn06V2o6Nqzo4txIDfNOXMN7hHF98As3nVgd/K999h3Ehrqb5Eyi4vUESckkG3/GRsq&#10;A/uIGWhovUnikRyM0GlOx/NsUiuCnNdluVxeUUhQ7O1qcbVa5hJQTdnOh/hJomHJqLmn2Wd0ODyG&#10;mLqBarqSill8UFrn+WvL+pq/W5bLnHARMSrSemplan4zT9+4MInkR9vk5AhKjzYV0PbEOhEdKcdh&#10;O4wCT2JusTmSDB7HbaTXQ0aH/idnPW1izcOPPXjJGVhB7prHybyLeXUnaWknMq3T/qalu/zPrfx+&#10;ZZtfAAAA//8DAFBLAwQUAAYACAAAACEALkNfCt8AAAALAQAADwAAAGRycy9kb3ducmV2LnhtbEyP&#10;zU7DMBCE70i8g7VI3Fo7UNI2xKkQiCuI/knc3HibRMTrKHab8PbdnuC4M59mZ/LV6Fpxxj40njQk&#10;UwUCqfS2oUrDdvM+WYAI0ZA1rSfU8IsBVsXtTW4y6wf6wvM6VoJDKGRGQx1jl0kZyhqdCVPfIbF3&#10;9L0zkc++krY3A4e7Vj4olUpnGuIPtenwtcbyZ31yGnYfx+/9TH1Wb+6pG/yoJLml1Pr+bnx5BhFx&#10;jH8wXOtzdSi408GfyAbRapgkjzNG2UgWCQgmlumc1x1YmacpyCKX/zcUFwAAAP//AwBQSwECLQAU&#10;AAYACAAAACEAtoM4kv4AAADhAQAAEwAAAAAAAAAAAAAAAAAAAAAAW0NvbnRlbnRfVHlwZXNdLnht&#10;bFBLAQItABQABgAIAAAAIQA4/SH/1gAAAJQBAAALAAAAAAAAAAAAAAAAAC8BAABfcmVscy8ucmVs&#10;c1BLAQItABQABgAIAAAAIQCNF/Gm6wEAAK0DAAAOAAAAAAAAAAAAAAAAAC4CAABkcnMvZTJvRG9j&#10;LnhtbFBLAQItABQABgAIAAAAIQAuQ18K3wAAAAsBAAAPAAAAAAAAAAAAAAAAAEUEAABkcnMvZG93&#10;bnJldi54bWxQSwUGAAAAAAQABADzAAAAUQUAAAAA&#10;" filled="f" stroked="f">
              <v:textbox>
                <w:txbxContent>
                  <w:p w:rsidR="003B7D06" w:rsidRPr="00330889" w:rsidRDefault="003B7D06" w:rsidP="003B7D06">
                    <w:pPr>
                      <w:rPr>
                        <w:rFonts w:asciiTheme="majorHAnsi" w:hAnsiTheme="majorHAnsi"/>
                        <w:b/>
                        <w:bCs/>
                        <w:caps/>
                        <w:color w:val="999999" w:themeColor="accent4"/>
                        <w:sz w:val="32"/>
                        <w:szCs w:val="32"/>
                      </w:rPr>
                    </w:pPr>
                    <w:r>
                      <w:rPr>
                        <w:rFonts w:ascii="Amnesty Trade Gothic Cn" w:eastAsia="Amnesty Trade Gothic Cn" w:hAnsi="Amnesty Trade Gothic Cn" w:cs="Amnesty Trade Gothic Cn"/>
                        <w:b/>
                        <w:bCs/>
                        <w:caps/>
                        <w:color w:val="999999"/>
                        <w:sz w:val="32"/>
                        <w:szCs w:val="32"/>
                        <w:bdr w:val="nil"/>
                        <w:lang w:val="fr-FR"/>
                      </w:rPr>
                      <w:t xml:space="preserve">Déclaration publique – Amnesty International </w:t>
                    </w:r>
                  </w:p>
                  <w:p w:rsidR="003D061B" w:rsidRPr="00330889" w:rsidRDefault="003D061B">
                    <w:pPr>
                      <w:rPr>
                        <w:rFonts w:asciiTheme="majorHAnsi" w:hAnsiTheme="majorHAnsi"/>
                        <w:b/>
                        <w:bCs/>
                        <w:caps/>
                        <w:color w:val="999999" w:themeColor="accent4"/>
                        <w:sz w:val="32"/>
                        <w:szCs w:val="32"/>
                      </w:rPr>
                    </w:pP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535305</wp:posOffset>
              </wp:positionV>
              <wp:extent cx="1280160" cy="251460"/>
              <wp:effectExtent l="0" t="0" r="15240" b="2540"/>
              <wp:wrapNone/>
              <wp:docPr id="12" name="Text Box 12"/>
              <wp:cNvGraphicFramePr/>
              <a:graphic xmlns:a="http://schemas.openxmlformats.org/drawingml/2006/main">
                <a:graphicData uri="http://schemas.microsoft.com/office/word/2010/wordprocessingShape">
                  <wps:wsp>
                    <wps:cNvSpPr txBox="1"/>
                    <wps:spPr>
                      <a:xfrm>
                        <a:off x="0" y="0"/>
                        <a:ext cx="1280160" cy="251460"/>
                      </a:xfrm>
                      <a:prstGeom prst="rect">
                        <a:avLst/>
                      </a:prstGeom>
                      <a:noFill/>
                      <a:ln>
                        <a:noFill/>
                      </a:ln>
                      <a:effectLst/>
                      <a:extLst>
                        <a:ext uri="{C572A759-6A51-4108-AA02-DFA0A04FC94B}">
                          <ma14:wrappingTextBox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D061B" w:rsidRPr="00195BB5" w:rsidRDefault="00920751" w:rsidP="003417A6">
                          <w:pPr>
                            <w:pStyle w:val="BasicParagraph"/>
                            <w:spacing w:line="204" w:lineRule="auto"/>
                            <w:rPr>
                              <w:rFonts w:ascii="Amnesty Trade Gothic Cn" w:hAnsi="Amnesty Trade Gothic Cn"/>
                              <w:b/>
                            </w:rPr>
                          </w:pPr>
                          <w:r>
                            <w:rPr>
                              <w:rFonts w:ascii="Amnesty Trade Gothic Cn" w:eastAsia="Amnesty Trade Gothic Cn" w:hAnsi="Amnesty Trade Gothic Cn" w:cs="Amnesty Trade Gothic Cn"/>
                              <w:b/>
                              <w:bCs/>
                              <w:position w:val="4"/>
                              <w:sz w:val="20"/>
                              <w:szCs w:val="20"/>
                              <w:bdr w:val="nil"/>
                              <w:lang w:val="fr-FR"/>
                            </w:rPr>
                            <w:t>www.amnesty.org</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6pt;margin-top:42.15pt;width:100.8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GI2mQIAAI4FAAAOAAAAZHJzL2Uyb0RvYy54bWysVEtv2zAMvg/YfxB0T/1Y0qZGnMJNkWFA&#10;0RZrh54VWWqM6TVJjZ0N+++jZDvtsl067CLT1EeK/PhYXHRSoB2zrtGqxNlJihFTVNeNeirxl4f1&#10;ZI6R80TVRGjFSrxnDl8s379btKZgud5qUTOLwIlyRWtKvPXeFEni6JZJ4k60YQouubaSePi1T0lt&#10;SQvepUjyND1NWm1rYzVlzoH2qr/Ey+ifc0b9LeeOeSRKDLH5eNp4bsKZLBekeLLEbBs6hEH+IQpJ&#10;GgWPHlxdEU/Qs23+cCUbarXT3J9QLRPNeUNZzAGyydKjbO63xLCYC5DjzIEm9//c0pvdnUVNDbXL&#10;MVJEQo0eWOfRpe4QqICf1rgCYPcGgL4DPWBHvQNlSLvjVoYvJITgHpjeH9gN3mgwyudpdgpXFO7y&#10;WTYFGdwnL9bGOv+RaYmCUGIL1Yukkt218z10hITHlF43QsQKCvWbAnz2GhZboLcmBUQCYkCGmGJ5&#10;fqxmZ3l1NjufnFazbDLN0vmkqtJ8crWu0iqdrlfn08ufQ5yjfRIo6VOPkt8LFrwK9ZlxIDMyEBSx&#10;jdlKWLQj0ICEUqZ8JC9GCOiA4pDFWwwHfMwj5vcW456R8WWt/MFYNkrbyPdR2PXXMWTe46For/IO&#10;ou82XeyiD2NnbHS9h4axuh85Z+i6gapeE+fviIUZg0aAveFv4eBCtyXWg4TRVtvvf9MHPLQ+3GLU&#10;wsyW2H17JpZhJD4pGIow4KNgR2EzCupZrjRUIYONZGgUwcB6MYrcavkI66QKr8AVURTeKrEfxZXv&#10;NwesI8qqKoJgjA3x1+re0OA6FCX06EP3SKwZGtlD49zocZpJcdTPPXYgtedt+IGhjwMyLKiwVV7/&#10;R9TLGl3+AgAA//8DAFBLAwQUAAYACAAAACEAlwU8z90AAAAIAQAADwAAAGRycy9kb3ducmV2Lnht&#10;bEyPwU7DMBBE70j8g7VI3KhDWlVtiFNVCE5IiDQcODrxNrEar0PstuHvuz3R4+yMZt/km8n14oRj&#10;sJ4UPM8SEEiNN5ZaBd/V+9MKRIiajO49oYI/DLAp7u9ynRl/phJPu9gKLqGQaQVdjEMmZWg6dDrM&#10;/IDE3t6PTkeWYyvNqM9c7nqZJslSOm2JP3R6wNcOm8Pu6BRsf6h8s7+f9Ve5L21VrRP6WB6UenyY&#10;ti8gIk7xPwxXfEaHgplqfyQTRM865aCC1WIOgu00SXlJfb3P1yCLXN4OKC4AAAD//wMAUEsBAi0A&#10;FAAGAAgAAAAhALaDOJL+AAAA4QEAABMAAAAAAAAAAAAAAAAAAAAAAFtDb250ZW50X1R5cGVzXS54&#10;bWxQSwECLQAUAAYACAAAACEAOP0h/9YAAACUAQAACwAAAAAAAAAAAAAAAAAvAQAAX3JlbHMvLnJl&#10;bHNQSwECLQAUAAYACAAAACEAAaBiNpkCAACOBQAADgAAAAAAAAAAAAAAAAAuAgAAZHJzL2Uyb0Rv&#10;Yy54bWxQSwECLQAUAAYACAAAACEAlwU8z90AAAAIAQAADwAAAAAAAAAAAAAAAADzBAAAZHJzL2Rv&#10;d25yZXYueG1sUEsFBgAAAAAEAAQA8wAAAP0FAAAAAA==&#10;" filled="f" stroked="f">
              <v:textbox inset="0,0,0,0">
                <w:txbxContent>
                  <w:p w:rsidR="003D061B" w:rsidRPr="00195BB5" w:rsidRDefault="00920751" w:rsidP="003417A6">
                    <w:pPr>
                      <w:pStyle w:val="BasicParagraph"/>
                      <w:spacing w:line="204" w:lineRule="auto"/>
                      <w:rPr>
                        <w:rFonts w:ascii="Amnesty Trade Gothic Cn" w:hAnsi="Amnesty Trade Gothic Cn"/>
                        <w:b/>
                      </w:rPr>
                    </w:pPr>
                    <w:r>
                      <w:rPr>
                        <w:rFonts w:ascii="Amnesty Trade Gothic Cn" w:eastAsia="Amnesty Trade Gothic Cn" w:hAnsi="Amnesty Trade Gothic Cn" w:cs="Amnesty Trade Gothic Cn"/>
                        <w:b/>
                        <w:bCs/>
                        <w:position w:val="4"/>
                        <w:sz w:val="20"/>
                        <w:szCs w:val="20"/>
                        <w:bdr w:val="nil"/>
                        <w:lang w:val="fr-FR"/>
                      </w:rPr>
                      <w:t>www.amnesty.org</w:t>
                    </w:r>
                  </w:p>
                </w:txbxContent>
              </v:textbox>
            </v:shape>
          </w:pict>
        </mc:Fallback>
      </mc:AlternateContent>
    </w:r>
    <w:r>
      <w:rPr>
        <w:noProof/>
        <w:lang w:val="en-GB" w:eastAsia="en-GB"/>
      </w:rPr>
      <mc:AlternateContent>
        <mc:Choice Requires="wps">
          <w:drawing>
            <wp:anchor distT="0" distB="0" distL="114300" distR="114300" simplePos="0" relativeHeight="251658240" behindDoc="0" locked="1" layoutInCell="1" allowOverlap="1">
              <wp:simplePos x="0" y="0"/>
              <wp:positionH relativeFrom="page">
                <wp:posOffset>504190</wp:posOffset>
              </wp:positionH>
              <wp:positionV relativeFrom="page">
                <wp:posOffset>1242060</wp:posOffset>
              </wp:positionV>
              <wp:extent cx="6541200" cy="0"/>
              <wp:effectExtent l="0" t="0" r="37465" b="25400"/>
              <wp:wrapNone/>
              <wp:docPr id="6" name="Straight Connector 6"/>
              <wp:cNvGraphicFramePr/>
              <a:graphic xmlns:a="http://schemas.openxmlformats.org/drawingml/2006/main">
                <a:graphicData uri="http://schemas.microsoft.com/office/word/2010/wordprocessingShape">
                  <wps:wsp>
                    <wps:cNvCnPr/>
                    <wps:spPr>
                      <a:xfrm>
                        <a:off x="0" y="0"/>
                        <a:ext cx="654120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2053" style="mso-position-horizontal-relative:page;mso-position-vertical-relative:page;mso-width-percent:0;mso-width-relative:margin;mso-wrap-distance-bottom:0;mso-wrap-distance-left:9pt;mso-wrap-distance-right:9pt;mso-wrap-distance-top:0;mso-wrap-style:square;position:absolute;visibility:visible;z-index:251659264" from="39.7pt,97.8pt" to="554.75pt,97.8pt" strokecolor="black" strokeweight="0.25pt">
              <w10:anchorlock/>
            </v:line>
          </w:pict>
        </mc:Fallback>
      </mc:AlternateContent>
    </w:r>
    <w:r>
      <w:tab/>
    </w:r>
    <w:r w:rsidRPr="00AE5E82">
      <w:rPr>
        <w:noProof/>
        <w:lang w:val="en-GB" w:eastAsia="en-GB"/>
      </w:rPr>
      <w:drawing>
        <wp:anchor distT="0" distB="0" distL="114300" distR="114300" simplePos="0" relativeHeight="251667456" behindDoc="0" locked="1" layoutInCell="1" allowOverlap="1">
          <wp:simplePos x="0" y="0"/>
          <wp:positionH relativeFrom="page">
            <wp:posOffset>5534025</wp:posOffset>
          </wp:positionH>
          <wp:positionV relativeFrom="page">
            <wp:posOffset>449580</wp:posOffset>
          </wp:positionV>
          <wp:extent cx="1522800" cy="648000"/>
          <wp:effectExtent l="0" t="0" r="127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770023"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522800" cy="648000"/>
                  </a:xfrm>
                  <a:prstGeom prst="rect">
                    <a:avLst/>
                  </a:prstGeom>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61385"/>
    <w:multiLevelType w:val="hybridMultilevel"/>
    <w:tmpl w:val="25963250"/>
    <w:lvl w:ilvl="0" w:tplc="9B549166">
      <w:start w:val="1"/>
      <w:numFmt w:val="bullet"/>
      <w:lvlText w:val=""/>
      <w:lvlJc w:val="left"/>
      <w:pPr>
        <w:ind w:left="720" w:hanging="360"/>
      </w:pPr>
      <w:rPr>
        <w:rFonts w:ascii="Symbol" w:hAnsi="Symbol" w:hint="default"/>
      </w:rPr>
    </w:lvl>
    <w:lvl w:ilvl="1" w:tplc="7064369E" w:tentative="1">
      <w:start w:val="1"/>
      <w:numFmt w:val="bullet"/>
      <w:lvlText w:val="o"/>
      <w:lvlJc w:val="left"/>
      <w:pPr>
        <w:ind w:left="1440" w:hanging="360"/>
      </w:pPr>
      <w:rPr>
        <w:rFonts w:ascii="Courier New" w:hAnsi="Courier New" w:cs="Courier New" w:hint="default"/>
      </w:rPr>
    </w:lvl>
    <w:lvl w:ilvl="2" w:tplc="D7DEF34A" w:tentative="1">
      <w:start w:val="1"/>
      <w:numFmt w:val="bullet"/>
      <w:lvlText w:val=""/>
      <w:lvlJc w:val="left"/>
      <w:pPr>
        <w:ind w:left="2160" w:hanging="360"/>
      </w:pPr>
      <w:rPr>
        <w:rFonts w:ascii="Wingdings" w:hAnsi="Wingdings" w:hint="default"/>
      </w:rPr>
    </w:lvl>
    <w:lvl w:ilvl="3" w:tplc="1110CF42" w:tentative="1">
      <w:start w:val="1"/>
      <w:numFmt w:val="bullet"/>
      <w:lvlText w:val=""/>
      <w:lvlJc w:val="left"/>
      <w:pPr>
        <w:ind w:left="2880" w:hanging="360"/>
      </w:pPr>
      <w:rPr>
        <w:rFonts w:ascii="Symbol" w:hAnsi="Symbol" w:hint="default"/>
      </w:rPr>
    </w:lvl>
    <w:lvl w:ilvl="4" w:tplc="D60AC242" w:tentative="1">
      <w:start w:val="1"/>
      <w:numFmt w:val="bullet"/>
      <w:lvlText w:val="o"/>
      <w:lvlJc w:val="left"/>
      <w:pPr>
        <w:ind w:left="3600" w:hanging="360"/>
      </w:pPr>
      <w:rPr>
        <w:rFonts w:ascii="Courier New" w:hAnsi="Courier New" w:cs="Courier New" w:hint="default"/>
      </w:rPr>
    </w:lvl>
    <w:lvl w:ilvl="5" w:tplc="E46EFF02" w:tentative="1">
      <w:start w:val="1"/>
      <w:numFmt w:val="bullet"/>
      <w:lvlText w:val=""/>
      <w:lvlJc w:val="left"/>
      <w:pPr>
        <w:ind w:left="4320" w:hanging="360"/>
      </w:pPr>
      <w:rPr>
        <w:rFonts w:ascii="Wingdings" w:hAnsi="Wingdings" w:hint="default"/>
      </w:rPr>
    </w:lvl>
    <w:lvl w:ilvl="6" w:tplc="880A7592" w:tentative="1">
      <w:start w:val="1"/>
      <w:numFmt w:val="bullet"/>
      <w:lvlText w:val=""/>
      <w:lvlJc w:val="left"/>
      <w:pPr>
        <w:ind w:left="5040" w:hanging="360"/>
      </w:pPr>
      <w:rPr>
        <w:rFonts w:ascii="Symbol" w:hAnsi="Symbol" w:hint="default"/>
      </w:rPr>
    </w:lvl>
    <w:lvl w:ilvl="7" w:tplc="F05CB6C4" w:tentative="1">
      <w:start w:val="1"/>
      <w:numFmt w:val="bullet"/>
      <w:lvlText w:val="o"/>
      <w:lvlJc w:val="left"/>
      <w:pPr>
        <w:ind w:left="5760" w:hanging="360"/>
      </w:pPr>
      <w:rPr>
        <w:rFonts w:ascii="Courier New" w:hAnsi="Courier New" w:cs="Courier New" w:hint="default"/>
      </w:rPr>
    </w:lvl>
    <w:lvl w:ilvl="8" w:tplc="ED52270C" w:tentative="1">
      <w:start w:val="1"/>
      <w:numFmt w:val="bullet"/>
      <w:lvlText w:val=""/>
      <w:lvlJc w:val="left"/>
      <w:pPr>
        <w:ind w:left="6480" w:hanging="360"/>
      </w:pPr>
      <w:rPr>
        <w:rFonts w:ascii="Wingdings" w:hAnsi="Wingdings" w:hint="default"/>
      </w:rPr>
    </w:lvl>
  </w:abstractNum>
  <w:abstractNum w:abstractNumId="1" w15:restartNumberingAfterBreak="0">
    <w:nsid w:val="63AF7ECE"/>
    <w:multiLevelType w:val="multilevel"/>
    <w:tmpl w:val="C59A4C1C"/>
    <w:styleLink w:val="Numberedheadinglistlevel2"/>
    <w:lvl w:ilvl="0">
      <w:start w:val="1"/>
      <w:numFmt w:val="decimal"/>
      <w:lvlText w:val="%1"/>
      <w:lvlJc w:val="left"/>
      <w:pPr>
        <w:tabs>
          <w:tab w:val="num" w:pos="567"/>
        </w:tabs>
        <w:ind w:left="567" w:hanging="567"/>
      </w:pPr>
      <w:rPr>
        <w:rFonts w:ascii="Georgia" w:hAnsi="Georgia" w:hint="default"/>
      </w:rPr>
    </w:lvl>
    <w:lvl w:ilvl="1">
      <w:start w:val="1"/>
      <w:numFmt w:val="decimal"/>
      <w:lvlText w:val="%1.%2"/>
      <w:lvlJc w:val="left"/>
      <w:pPr>
        <w:tabs>
          <w:tab w:val="num" w:pos="567"/>
        </w:tabs>
        <w:ind w:left="567" w:hanging="567"/>
      </w:pPr>
      <w:rPr>
        <w:rFonts w:ascii="Georgia" w:hAnsi="Georgia" w:hint="default"/>
        <w:sz w:val="24"/>
        <w:szCs w:val="24"/>
      </w:rPr>
    </w:lvl>
    <w:lvl w:ilvl="2">
      <w:start w:val="1"/>
      <w:numFmt w:val="decimal"/>
      <w:lvlText w:val="%1.%2.%3"/>
      <w:lvlJc w:val="left"/>
      <w:pPr>
        <w:tabs>
          <w:tab w:val="num" w:pos="567"/>
        </w:tabs>
        <w:ind w:left="567" w:firstLine="0"/>
      </w:pPr>
      <w:rPr>
        <w:rFonts w:asciiTheme="minorHAnsi" w:hAnsiTheme="minorHAnsi" w:hint="default"/>
        <w:sz w:val="24"/>
        <w:szCs w:val="24"/>
      </w:rPr>
    </w:lvl>
    <w:lvl w:ilvl="3">
      <w:start w:val="1"/>
      <w:numFmt w:val="none"/>
      <w:lvlText w:val="%1.%2.%3.%4."/>
      <w:lvlJc w:val="left"/>
      <w:pPr>
        <w:ind w:left="1729" w:hanging="649"/>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2" w15:restartNumberingAfterBreak="0">
    <w:nsid w:val="6D540AC4"/>
    <w:multiLevelType w:val="multilevel"/>
    <w:tmpl w:val="7F8E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LockTheme/>
  <w:styleLockQFSet/>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ECF"/>
    <w:rsid w:val="00003822"/>
    <w:rsid w:val="000275F8"/>
    <w:rsid w:val="00031AE3"/>
    <w:rsid w:val="00056546"/>
    <w:rsid w:val="00075FC9"/>
    <w:rsid w:val="000A5E38"/>
    <w:rsid w:val="000D01CC"/>
    <w:rsid w:val="000E40F1"/>
    <w:rsid w:val="00103D56"/>
    <w:rsid w:val="001049B0"/>
    <w:rsid w:val="00107CE2"/>
    <w:rsid w:val="00130D4B"/>
    <w:rsid w:val="00132574"/>
    <w:rsid w:val="001341C5"/>
    <w:rsid w:val="00134C51"/>
    <w:rsid w:val="00152840"/>
    <w:rsid w:val="0017158F"/>
    <w:rsid w:val="001741EC"/>
    <w:rsid w:val="00184F46"/>
    <w:rsid w:val="001853C3"/>
    <w:rsid w:val="0018720D"/>
    <w:rsid w:val="00195BB5"/>
    <w:rsid w:val="001A0F65"/>
    <w:rsid w:val="001A5501"/>
    <w:rsid w:val="001B7D74"/>
    <w:rsid w:val="001E4BC8"/>
    <w:rsid w:val="001E4CE0"/>
    <w:rsid w:val="002121D7"/>
    <w:rsid w:val="0022378B"/>
    <w:rsid w:val="00227B5A"/>
    <w:rsid w:val="00234ECF"/>
    <w:rsid w:val="00244A03"/>
    <w:rsid w:val="002609F1"/>
    <w:rsid w:val="00266293"/>
    <w:rsid w:val="002669C1"/>
    <w:rsid w:val="00277E96"/>
    <w:rsid w:val="002808CF"/>
    <w:rsid w:val="00287F57"/>
    <w:rsid w:val="002A3556"/>
    <w:rsid w:val="002A4B22"/>
    <w:rsid w:val="002B0811"/>
    <w:rsid w:val="002C12E4"/>
    <w:rsid w:val="002C75DC"/>
    <w:rsid w:val="002D7C81"/>
    <w:rsid w:val="002E424B"/>
    <w:rsid w:val="002E6FB0"/>
    <w:rsid w:val="002F7E13"/>
    <w:rsid w:val="00301BB2"/>
    <w:rsid w:val="0031330A"/>
    <w:rsid w:val="00323293"/>
    <w:rsid w:val="0032334D"/>
    <w:rsid w:val="00330889"/>
    <w:rsid w:val="00335602"/>
    <w:rsid w:val="003417A6"/>
    <w:rsid w:val="00346B68"/>
    <w:rsid w:val="00353377"/>
    <w:rsid w:val="00354962"/>
    <w:rsid w:val="00364A13"/>
    <w:rsid w:val="0036743E"/>
    <w:rsid w:val="00372726"/>
    <w:rsid w:val="00375F8D"/>
    <w:rsid w:val="00381E5A"/>
    <w:rsid w:val="00383B33"/>
    <w:rsid w:val="0039063C"/>
    <w:rsid w:val="003A3D5A"/>
    <w:rsid w:val="003A53E7"/>
    <w:rsid w:val="003A6DAB"/>
    <w:rsid w:val="003B5467"/>
    <w:rsid w:val="003B6582"/>
    <w:rsid w:val="003B7D06"/>
    <w:rsid w:val="003C0A05"/>
    <w:rsid w:val="003C23AB"/>
    <w:rsid w:val="003C4B58"/>
    <w:rsid w:val="003D061B"/>
    <w:rsid w:val="003D4A30"/>
    <w:rsid w:val="003D6EE8"/>
    <w:rsid w:val="003E3AAC"/>
    <w:rsid w:val="003E7F4D"/>
    <w:rsid w:val="003F6E26"/>
    <w:rsid w:val="004036AF"/>
    <w:rsid w:val="00416FC9"/>
    <w:rsid w:val="00431051"/>
    <w:rsid w:val="004423EB"/>
    <w:rsid w:val="00461517"/>
    <w:rsid w:val="004633AB"/>
    <w:rsid w:val="00467845"/>
    <w:rsid w:val="0048501D"/>
    <w:rsid w:val="004934F4"/>
    <w:rsid w:val="004A68AC"/>
    <w:rsid w:val="004B244D"/>
    <w:rsid w:val="004C3E87"/>
    <w:rsid w:val="004C73E7"/>
    <w:rsid w:val="004D0002"/>
    <w:rsid w:val="004D2325"/>
    <w:rsid w:val="004F2EA0"/>
    <w:rsid w:val="004F3409"/>
    <w:rsid w:val="00503BE0"/>
    <w:rsid w:val="0050545A"/>
    <w:rsid w:val="00516B1E"/>
    <w:rsid w:val="0054142E"/>
    <w:rsid w:val="005453DD"/>
    <w:rsid w:val="00545695"/>
    <w:rsid w:val="005616F0"/>
    <w:rsid w:val="00587B65"/>
    <w:rsid w:val="00593FB7"/>
    <w:rsid w:val="005A1854"/>
    <w:rsid w:val="005B77B8"/>
    <w:rsid w:val="005C0EF3"/>
    <w:rsid w:val="005C6B9F"/>
    <w:rsid w:val="005D046E"/>
    <w:rsid w:val="005D5D7D"/>
    <w:rsid w:val="005D6C97"/>
    <w:rsid w:val="006100D5"/>
    <w:rsid w:val="00611321"/>
    <w:rsid w:val="00611C2B"/>
    <w:rsid w:val="006141F4"/>
    <w:rsid w:val="006177B1"/>
    <w:rsid w:val="0062092F"/>
    <w:rsid w:val="00621591"/>
    <w:rsid w:val="00622E05"/>
    <w:rsid w:val="00624985"/>
    <w:rsid w:val="006275D4"/>
    <w:rsid w:val="00673111"/>
    <w:rsid w:val="006C3DE5"/>
    <w:rsid w:val="006E4888"/>
    <w:rsid w:val="006F4B2A"/>
    <w:rsid w:val="0070772F"/>
    <w:rsid w:val="007103CB"/>
    <w:rsid w:val="00717DDE"/>
    <w:rsid w:val="00721775"/>
    <w:rsid w:val="0073438E"/>
    <w:rsid w:val="007425C3"/>
    <w:rsid w:val="00753209"/>
    <w:rsid w:val="00754070"/>
    <w:rsid w:val="00757555"/>
    <w:rsid w:val="00764735"/>
    <w:rsid w:val="00775EB8"/>
    <w:rsid w:val="00794D11"/>
    <w:rsid w:val="00794EC3"/>
    <w:rsid w:val="007C78BC"/>
    <w:rsid w:val="007D4C4B"/>
    <w:rsid w:val="007D5009"/>
    <w:rsid w:val="007E050A"/>
    <w:rsid w:val="007E0540"/>
    <w:rsid w:val="007F3135"/>
    <w:rsid w:val="007F567E"/>
    <w:rsid w:val="008001C8"/>
    <w:rsid w:val="00800226"/>
    <w:rsid w:val="00820E56"/>
    <w:rsid w:val="00822E7C"/>
    <w:rsid w:val="00831B45"/>
    <w:rsid w:val="00834D08"/>
    <w:rsid w:val="008379B0"/>
    <w:rsid w:val="0084190F"/>
    <w:rsid w:val="00844850"/>
    <w:rsid w:val="00844B4A"/>
    <w:rsid w:val="00846404"/>
    <w:rsid w:val="008570D3"/>
    <w:rsid w:val="00857C00"/>
    <w:rsid w:val="00872AF2"/>
    <w:rsid w:val="008A300B"/>
    <w:rsid w:val="008A781F"/>
    <w:rsid w:val="008A7D53"/>
    <w:rsid w:val="008B3ACF"/>
    <w:rsid w:val="008B7C5C"/>
    <w:rsid w:val="008D2B06"/>
    <w:rsid w:val="008E517E"/>
    <w:rsid w:val="009052BE"/>
    <w:rsid w:val="009149EF"/>
    <w:rsid w:val="00915AEA"/>
    <w:rsid w:val="00920751"/>
    <w:rsid w:val="00941FF4"/>
    <w:rsid w:val="00944432"/>
    <w:rsid w:val="00960B46"/>
    <w:rsid w:val="00960EE2"/>
    <w:rsid w:val="009667B1"/>
    <w:rsid w:val="009734F7"/>
    <w:rsid w:val="00987C82"/>
    <w:rsid w:val="009A0E11"/>
    <w:rsid w:val="009A1EBB"/>
    <w:rsid w:val="009A6698"/>
    <w:rsid w:val="009B264D"/>
    <w:rsid w:val="009B2D5B"/>
    <w:rsid w:val="009D699B"/>
    <w:rsid w:val="009E0DF0"/>
    <w:rsid w:val="009F0638"/>
    <w:rsid w:val="009F599A"/>
    <w:rsid w:val="00A14A66"/>
    <w:rsid w:val="00A23F6B"/>
    <w:rsid w:val="00A26ADC"/>
    <w:rsid w:val="00A27717"/>
    <w:rsid w:val="00A33111"/>
    <w:rsid w:val="00A43E90"/>
    <w:rsid w:val="00A4414F"/>
    <w:rsid w:val="00A610AE"/>
    <w:rsid w:val="00A77BB2"/>
    <w:rsid w:val="00A8122D"/>
    <w:rsid w:val="00AA476C"/>
    <w:rsid w:val="00AB3BF6"/>
    <w:rsid w:val="00AE4938"/>
    <w:rsid w:val="00AE5E82"/>
    <w:rsid w:val="00AF0A15"/>
    <w:rsid w:val="00AF1F4C"/>
    <w:rsid w:val="00B015FD"/>
    <w:rsid w:val="00B0189C"/>
    <w:rsid w:val="00B06225"/>
    <w:rsid w:val="00B11FC5"/>
    <w:rsid w:val="00B13C83"/>
    <w:rsid w:val="00B179F3"/>
    <w:rsid w:val="00B22405"/>
    <w:rsid w:val="00B25A12"/>
    <w:rsid w:val="00B356D7"/>
    <w:rsid w:val="00B369F0"/>
    <w:rsid w:val="00B50877"/>
    <w:rsid w:val="00B739A6"/>
    <w:rsid w:val="00B77554"/>
    <w:rsid w:val="00B77893"/>
    <w:rsid w:val="00B8720E"/>
    <w:rsid w:val="00B97EB4"/>
    <w:rsid w:val="00BA6197"/>
    <w:rsid w:val="00BB308C"/>
    <w:rsid w:val="00BB4EDF"/>
    <w:rsid w:val="00BC2A66"/>
    <w:rsid w:val="00BC6C34"/>
    <w:rsid w:val="00BC75EB"/>
    <w:rsid w:val="00BE4F94"/>
    <w:rsid w:val="00C06FF2"/>
    <w:rsid w:val="00C10731"/>
    <w:rsid w:val="00C14938"/>
    <w:rsid w:val="00C16C3D"/>
    <w:rsid w:val="00C22041"/>
    <w:rsid w:val="00C57C7F"/>
    <w:rsid w:val="00C617D9"/>
    <w:rsid w:val="00C62F92"/>
    <w:rsid w:val="00C63D9B"/>
    <w:rsid w:val="00C64083"/>
    <w:rsid w:val="00C753A4"/>
    <w:rsid w:val="00CC1DD1"/>
    <w:rsid w:val="00CD27C9"/>
    <w:rsid w:val="00CD4553"/>
    <w:rsid w:val="00CE74F7"/>
    <w:rsid w:val="00CF01C6"/>
    <w:rsid w:val="00D13E80"/>
    <w:rsid w:val="00D22AF1"/>
    <w:rsid w:val="00D52A2B"/>
    <w:rsid w:val="00D550EA"/>
    <w:rsid w:val="00D57EEF"/>
    <w:rsid w:val="00D80099"/>
    <w:rsid w:val="00D85CE3"/>
    <w:rsid w:val="00D87DCF"/>
    <w:rsid w:val="00D92F64"/>
    <w:rsid w:val="00D94D3A"/>
    <w:rsid w:val="00D96AFC"/>
    <w:rsid w:val="00D97F49"/>
    <w:rsid w:val="00DA2C16"/>
    <w:rsid w:val="00DA6D45"/>
    <w:rsid w:val="00DA7C8A"/>
    <w:rsid w:val="00DA7F5A"/>
    <w:rsid w:val="00DB1AF2"/>
    <w:rsid w:val="00DC4143"/>
    <w:rsid w:val="00DD6034"/>
    <w:rsid w:val="00DE74B0"/>
    <w:rsid w:val="00DE7752"/>
    <w:rsid w:val="00DF6871"/>
    <w:rsid w:val="00E13897"/>
    <w:rsid w:val="00E1421F"/>
    <w:rsid w:val="00E14EEF"/>
    <w:rsid w:val="00E20107"/>
    <w:rsid w:val="00E321ED"/>
    <w:rsid w:val="00E3720D"/>
    <w:rsid w:val="00E52B7B"/>
    <w:rsid w:val="00E56052"/>
    <w:rsid w:val="00E751B8"/>
    <w:rsid w:val="00E76A70"/>
    <w:rsid w:val="00E76DA4"/>
    <w:rsid w:val="00EA7B4E"/>
    <w:rsid w:val="00EB5327"/>
    <w:rsid w:val="00ED025D"/>
    <w:rsid w:val="00EE00E3"/>
    <w:rsid w:val="00EF166F"/>
    <w:rsid w:val="00F03CC9"/>
    <w:rsid w:val="00F05D21"/>
    <w:rsid w:val="00F16DD5"/>
    <w:rsid w:val="00F249C8"/>
    <w:rsid w:val="00F25DAE"/>
    <w:rsid w:val="00F325B2"/>
    <w:rsid w:val="00F37E13"/>
    <w:rsid w:val="00F425C9"/>
    <w:rsid w:val="00F47596"/>
    <w:rsid w:val="00F55F87"/>
    <w:rsid w:val="00F5616B"/>
    <w:rsid w:val="00F61D3D"/>
    <w:rsid w:val="00F641E9"/>
    <w:rsid w:val="00F7283F"/>
    <w:rsid w:val="00F94B5C"/>
    <w:rsid w:val="00F9676E"/>
    <w:rsid w:val="00FB3834"/>
    <w:rsid w:val="00FC373E"/>
    <w:rsid w:val="00FD47B1"/>
    <w:rsid w:val="00FE3A21"/>
    <w:rsid w:val="00FE50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CE644C"/>
  <w14:defaultImageDpi w14:val="330"/>
  <w15:docId w15:val="{892AF360-2552-4AAD-A00F-0AED2559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5">
    <w:lsdException w:name="Normal" w:locked="0"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8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33088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Bulletlist">
    <w:name w:val="Bullet list"/>
    <w:uiPriority w:val="99"/>
    <w:locked/>
    <w:rsid w:val="009B2D5B"/>
    <w:pPr>
      <w:numPr>
        <w:numId w:val="1"/>
      </w:numPr>
    </w:pPr>
  </w:style>
  <w:style w:type="numbering" w:customStyle="1" w:styleId="Numberedheadinglistlevel2">
    <w:name w:val="Numbered heading list level 2"/>
    <w:basedOn w:val="Aucuneliste"/>
    <w:uiPriority w:val="99"/>
    <w:locked/>
    <w:rsid w:val="009B2D5B"/>
    <w:pPr>
      <w:numPr>
        <w:numId w:val="2"/>
      </w:numPr>
    </w:pPr>
  </w:style>
  <w:style w:type="paragraph" w:styleId="En-tte">
    <w:name w:val="header"/>
    <w:basedOn w:val="Normal"/>
    <w:link w:val="En-tteCar"/>
    <w:uiPriority w:val="99"/>
    <w:semiHidden/>
    <w:locked/>
    <w:rsid w:val="00AE5E82"/>
    <w:pPr>
      <w:tabs>
        <w:tab w:val="center" w:pos="4320"/>
        <w:tab w:val="right" w:pos="8640"/>
      </w:tabs>
    </w:pPr>
  </w:style>
  <w:style w:type="character" w:customStyle="1" w:styleId="En-tteCar">
    <w:name w:val="En-tête Car"/>
    <w:basedOn w:val="Policepardfaut"/>
    <w:link w:val="En-tte"/>
    <w:uiPriority w:val="99"/>
    <w:semiHidden/>
    <w:rsid w:val="00F47596"/>
  </w:style>
  <w:style w:type="paragraph" w:styleId="Pieddepage">
    <w:name w:val="footer"/>
    <w:basedOn w:val="Normal"/>
    <w:link w:val="PieddepageCar"/>
    <w:uiPriority w:val="99"/>
    <w:locked/>
    <w:rsid w:val="008379B0"/>
    <w:pPr>
      <w:tabs>
        <w:tab w:val="center" w:pos="4320"/>
        <w:tab w:val="right" w:pos="8640"/>
      </w:tabs>
      <w:spacing w:before="40"/>
    </w:pPr>
    <w:rPr>
      <w:sz w:val="16"/>
    </w:rPr>
  </w:style>
  <w:style w:type="character" w:customStyle="1" w:styleId="PieddepageCar">
    <w:name w:val="Pied de page Car"/>
    <w:basedOn w:val="Policepardfaut"/>
    <w:link w:val="Pieddepage"/>
    <w:uiPriority w:val="99"/>
    <w:rsid w:val="00F47596"/>
    <w:rPr>
      <w:sz w:val="16"/>
    </w:rPr>
  </w:style>
  <w:style w:type="paragraph" w:customStyle="1" w:styleId="PSBodyText">
    <w:name w:val="PS Body Text"/>
    <w:basedOn w:val="Normal"/>
    <w:uiPriority w:val="2"/>
    <w:qFormat/>
    <w:rsid w:val="00A8122D"/>
    <w:pPr>
      <w:spacing w:after="120" w:line="240" w:lineRule="exact"/>
    </w:pPr>
    <w:rPr>
      <w:szCs w:val="64"/>
    </w:rPr>
  </w:style>
  <w:style w:type="paragraph" w:customStyle="1" w:styleId="PSSubHeading">
    <w:name w:val="PS Sub Heading"/>
    <w:basedOn w:val="PSBodyText"/>
    <w:next w:val="PSBodyText"/>
    <w:uiPriority w:val="1"/>
    <w:qFormat/>
    <w:rsid w:val="00330889"/>
    <w:pPr>
      <w:spacing w:before="240" w:line="280" w:lineRule="exact"/>
    </w:pPr>
    <w:rPr>
      <w:rFonts w:ascii="Amnesty Trade Gothic Cn" w:hAnsi="Amnesty Trade Gothic Cn"/>
      <w:b/>
      <w:caps/>
      <w:sz w:val="28"/>
    </w:rPr>
  </w:style>
  <w:style w:type="table" w:styleId="Grilledutableau">
    <w:name w:val="Table Grid"/>
    <w:basedOn w:val="Tableau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styleId="Lienhypertexte">
    <w:name w:val="Hyperlink"/>
    <w:basedOn w:val="Policepardfaut"/>
    <w:uiPriority w:val="99"/>
    <w:semiHidden/>
    <w:locked/>
    <w:rsid w:val="00301BB2"/>
    <w:rPr>
      <w:color w:val="000000" w:themeColor="hyperlink"/>
      <w:u w:val="none"/>
    </w:rPr>
  </w:style>
  <w:style w:type="character" w:styleId="Lienhypertextesuivivisit">
    <w:name w:val="FollowedHyperlink"/>
    <w:basedOn w:val="Policepardfaut"/>
    <w:uiPriority w:val="99"/>
    <w:semiHidden/>
    <w:locked/>
    <w:rsid w:val="00301BB2"/>
    <w:rPr>
      <w:color w:val="000000" w:themeColor="text1"/>
      <w:u w:val="none"/>
    </w:rPr>
  </w:style>
  <w:style w:type="character" w:customStyle="1" w:styleId="UnresolvedMention1">
    <w:name w:val="Unresolved Mention1"/>
    <w:basedOn w:val="Policepardfaut"/>
    <w:uiPriority w:val="99"/>
    <w:semiHidden/>
    <w:unhideWhenUsed/>
    <w:rsid w:val="00D550EA"/>
    <w:rPr>
      <w:color w:val="808080"/>
      <w:shd w:val="clear" w:color="auto" w:fill="E6E6E6"/>
    </w:rPr>
  </w:style>
  <w:style w:type="paragraph" w:customStyle="1" w:styleId="PSTitle">
    <w:name w:val="PS Title"/>
    <w:basedOn w:val="PSBodyText"/>
    <w:qFormat/>
    <w:rsid w:val="00330889"/>
    <w:pPr>
      <w:spacing w:line="440" w:lineRule="exact"/>
    </w:pPr>
    <w:rPr>
      <w:rFonts w:asciiTheme="majorHAnsi" w:hAnsiTheme="majorHAnsi"/>
      <w:b/>
      <w:bCs/>
      <w:caps/>
      <w:sz w:val="44"/>
      <w:szCs w:val="44"/>
    </w:rPr>
  </w:style>
  <w:style w:type="paragraph" w:customStyle="1" w:styleId="PSsub-subheading">
    <w:name w:val="PS sub-sub heading"/>
    <w:basedOn w:val="PSSubHeading"/>
    <w:qFormat/>
    <w:rsid w:val="00330889"/>
    <w:pPr>
      <w:spacing w:line="220" w:lineRule="exact"/>
    </w:pPr>
    <w:rPr>
      <w:sz w:val="22"/>
      <w:szCs w:val="22"/>
    </w:rPr>
  </w:style>
  <w:style w:type="character" w:styleId="Marquedecommentaire">
    <w:name w:val="annotation reference"/>
    <w:basedOn w:val="Policepardfaut"/>
    <w:uiPriority w:val="99"/>
    <w:semiHidden/>
    <w:locked/>
    <w:rsid w:val="003D4A30"/>
    <w:rPr>
      <w:sz w:val="16"/>
      <w:szCs w:val="16"/>
    </w:rPr>
  </w:style>
  <w:style w:type="paragraph" w:styleId="Commentaire">
    <w:name w:val="annotation text"/>
    <w:basedOn w:val="Normal"/>
    <w:link w:val="CommentaireCar"/>
    <w:uiPriority w:val="99"/>
    <w:semiHidden/>
    <w:locked/>
    <w:rsid w:val="003D4A30"/>
  </w:style>
  <w:style w:type="character" w:customStyle="1" w:styleId="CommentaireCar">
    <w:name w:val="Commentaire Car"/>
    <w:basedOn w:val="Policepardfaut"/>
    <w:link w:val="Commentaire"/>
    <w:uiPriority w:val="99"/>
    <w:semiHidden/>
    <w:rsid w:val="003D4A30"/>
  </w:style>
  <w:style w:type="paragraph" w:styleId="Objetducommentaire">
    <w:name w:val="annotation subject"/>
    <w:basedOn w:val="Commentaire"/>
    <w:next w:val="Commentaire"/>
    <w:link w:val="ObjetducommentaireCar"/>
    <w:uiPriority w:val="99"/>
    <w:semiHidden/>
    <w:locked/>
    <w:rsid w:val="003D4A30"/>
    <w:rPr>
      <w:b/>
      <w:bCs/>
    </w:rPr>
  </w:style>
  <w:style w:type="character" w:customStyle="1" w:styleId="ObjetducommentaireCar">
    <w:name w:val="Objet du commentaire Car"/>
    <w:basedOn w:val="CommentaireCar"/>
    <w:link w:val="Objetducommentaire"/>
    <w:uiPriority w:val="99"/>
    <w:semiHidden/>
    <w:rsid w:val="003D4A30"/>
    <w:rPr>
      <w:b/>
      <w:bCs/>
    </w:rPr>
  </w:style>
  <w:style w:type="paragraph" w:styleId="Textedebulles">
    <w:name w:val="Balloon Text"/>
    <w:basedOn w:val="Normal"/>
    <w:link w:val="TextedebullesCar"/>
    <w:uiPriority w:val="99"/>
    <w:semiHidden/>
    <w:locked/>
    <w:rsid w:val="003D4A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4A30"/>
    <w:rPr>
      <w:rFonts w:ascii="Segoe UI" w:hAnsi="Segoe UI" w:cs="Segoe UI"/>
      <w:sz w:val="18"/>
      <w:szCs w:val="18"/>
    </w:rPr>
  </w:style>
  <w:style w:type="paragraph" w:styleId="NormalWeb">
    <w:name w:val="Normal (Web)"/>
    <w:basedOn w:val="Normal"/>
    <w:uiPriority w:val="99"/>
    <w:unhideWhenUsed/>
    <w:locked/>
    <w:rsid w:val="00624985"/>
    <w:rPr>
      <w:rFonts w:ascii="Calibri" w:eastAsiaTheme="minorHAnsi" w:hAnsi="Calibri" w:cs="Calibri"/>
      <w:color w:val="auto"/>
      <w:sz w:val="22"/>
      <w:szCs w:val="22"/>
      <w:lang w:val="en-GB" w:eastAsia="en-GB"/>
    </w:rPr>
  </w:style>
  <w:style w:type="paragraph" w:styleId="Rvision">
    <w:name w:val="Revision"/>
    <w:hidden/>
    <w:uiPriority w:val="99"/>
    <w:semiHidden/>
    <w:rsid w:val="00FC373E"/>
  </w:style>
  <w:style w:type="paragraph" w:customStyle="1" w:styleId="p1">
    <w:name w:val="p1"/>
    <w:basedOn w:val="Normal"/>
    <w:rsid w:val="007F3135"/>
    <w:pPr>
      <w:spacing w:before="100" w:beforeAutospacing="1" w:after="100" w:afterAutospacing="1"/>
    </w:pPr>
    <w:rPr>
      <w:rFonts w:ascii="Times New Roman" w:eastAsia="Times New Roman" w:hAnsi="Times New Roman" w:cs="Times New Roman"/>
      <w:color w:val="auto"/>
      <w:sz w:val="24"/>
      <w:szCs w:val="24"/>
    </w:rPr>
  </w:style>
  <w:style w:type="paragraph" w:styleId="Notedefin">
    <w:name w:val="endnote text"/>
    <w:basedOn w:val="Normal"/>
    <w:link w:val="NotedefinCar"/>
    <w:uiPriority w:val="99"/>
    <w:semiHidden/>
    <w:locked/>
    <w:rsid w:val="00545695"/>
  </w:style>
  <w:style w:type="character" w:customStyle="1" w:styleId="NotedefinCar">
    <w:name w:val="Note de fin Car"/>
    <w:basedOn w:val="Policepardfaut"/>
    <w:link w:val="Notedefin"/>
    <w:uiPriority w:val="99"/>
    <w:semiHidden/>
    <w:rsid w:val="00545695"/>
  </w:style>
  <w:style w:type="character" w:styleId="Appeldenotedefin">
    <w:name w:val="endnote reference"/>
    <w:basedOn w:val="Policepardfaut"/>
    <w:uiPriority w:val="99"/>
    <w:semiHidden/>
    <w:locked/>
    <w:rsid w:val="00545695"/>
    <w:rPr>
      <w:vertAlign w:val="superscript"/>
    </w:rPr>
  </w:style>
  <w:style w:type="paragraph" w:customStyle="1" w:styleId="Default">
    <w:name w:val="Default"/>
    <w:rsid w:val="003C4B58"/>
    <w:pPr>
      <w:autoSpaceDE w:val="0"/>
      <w:autoSpaceDN w:val="0"/>
      <w:adjustRightInd w:val="0"/>
    </w:pPr>
    <w:rPr>
      <w:rFonts w:ascii="Amnesty Trade Gothic" w:hAnsi="Amnesty Trade Gothic" w:cs="Amnesty Trade Gothic"/>
      <w:color w:val="000000"/>
      <w:sz w:val="24"/>
      <w:szCs w:val="24"/>
      <w:lang w:val="en-GB"/>
    </w:rPr>
  </w:style>
  <w:style w:type="character" w:customStyle="1" w:styleId="Mentionnonrsolue1">
    <w:name w:val="Mention non résolue1"/>
    <w:basedOn w:val="Policepardfaut"/>
    <w:uiPriority w:val="99"/>
    <w:semiHidden/>
    <w:unhideWhenUsed/>
    <w:rsid w:val="001B7D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mnesty.org/en/documents/asa28/9424/2018/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dd07c6e893b72b9ef731316b749487ac">
  <xsd:schema xmlns:xsd="http://www.w3.org/2001/XMLSchema" xmlns:xs="http://www.w3.org/2001/XMLSchema" xmlns:p="http://schemas.microsoft.com/office/2006/metadata/properties" xmlns:ns2="b9e52a15-8fce-43d3-9ff2-f6bd6a140a3c" targetNamespace="http://schemas.microsoft.com/office/2006/metadata/properties" ma:root="true" ma:fieldsID="0c7ea5247f5a28aee39232a0c7f7d30d" ns2:_="">
    <xsd:import namespace="b9e52a15-8fce-43d3-9ff2-f6bd6a140a3c"/>
    <xsd:element name="properties">
      <xsd:complexType>
        <xsd:sequence>
          <xsd:element name="documentManagement">
            <xsd:complexType>
              <xsd:all>
                <xsd:element ref="ns2:AIIndexNumber" minOccurs="0"/>
                <xsd:element ref="ns2:AIClass"/>
                <xsd:element ref="ns2:AISubclass" minOccurs="0"/>
                <xsd:element ref="ns2:AIYear" minOccurs="0"/>
                <xsd:element ref="ns2:AIPublishDate" minOccurs="0"/>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nillable="true" ma:displayName="Year" ma:description="The year of publication/distribution" ma:indexed="true" ma:internalName="AIYear">
      <xsd:simpleType>
        <xsd:restriction base="dms:Text"/>
      </xsd:simpleType>
    </xsd:element>
    <xsd:element name="AIPublishDate" ma:index="6"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ari"/>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aya"/>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2" nillable="true" ma:displayName="Unpublished" ma:default="0" ma:internalName="AIUnpublished">
      <xsd:simpleType>
        <xsd:restriction base="dms:Boolean"/>
      </xsd:simpleType>
    </xsd:element>
    <xsd:element name="f8f6f4de72f040e1a686eca7e210b6e0" ma:index="33"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lda373c271c74aae80c3c8885e8e6ce1" ma:index="35"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7"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9"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1"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3"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IIndexNumber xmlns="b9e52a15-8fce-43d3-9ff2-f6bd6a140a3c">ASA 28/9723/2019</AIIndexNumber>
    <TaxCatchAll xmlns="b9e52a15-8fce-43d3-9ff2-f6bd6a140a3c">
      <Value>67</Value>
      <Value>15</Value>
      <Value>385</Value>
      <Value>300</Value>
      <Value>57</Value>
      <Value>357</Value>
    </TaxCatchAll>
    <AIClass xmlns="b9e52a15-8fce-43d3-9ff2-f6bd6a140a3c">ASA</AIClass>
    <AIYear xmlns="b9e52a15-8fce-43d3-9ff2-f6bd6a140a3c">2019</AIYear>
    <AILanguageCode xmlns="b9e52a15-8fce-43d3-9ff2-f6bd6a140a3c">en</AILanguageCode>
    <AIAbstract xmlns="b9e52a15-8fce-43d3-9ff2-f6bd6a140a3c">Amnesty International welcomes the Government of Malaysia’s pledges to recognise and protect the rights of Indigenous peoples, and the announcement that it will “seriously” consider the recommendations made by the Human Rights Commission of Malaysia (SUHAKAM) on Indigenous land rights. </AIAbstract>
    <AINetwork xmlns="b9e52a15-8fce-43d3-9ff2-f6bd6a140a3c" xsi:nil="true"/>
    <AILanguage xmlns="b9e52a15-8fce-43d3-9ff2-f6bd6a140a3c">English</AILanguage>
    <AIPublishDate xmlns="b9e52a15-8fce-43d3-9ff2-f6bd6a140a3c">2019-01-23T10:10:00+00:00</AIPublishDate>
    <AISubclass xmlns="b9e52a15-8fce-43d3-9ff2-f6bd6a140a3c">28</AISubclass>
    <AISecurityClass xmlns="b9e52a15-8fce-43d3-9ff2-f6bd6a140a3c">Public</AISecurityClass>
    <AINetworkNumber xmlns="b9e52a15-8fce-43d3-9ff2-f6bd6a140a3c" xsi:nil="true"/>
    <AIUnpublished xmlns="b9e52a15-8fce-43d3-9ff2-f6bd6a140a3c">false</AIUnpublished>
    <AIWebFriendlyTitle xmlns="b9e52a15-8fce-43d3-9ff2-f6bd6a140a3c">Malaysia: Fully recognise and protect Indigenous rights</AIWebFriendlyTitle>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Malaysia</TermName>
          <TermId xmlns="http://schemas.microsoft.com/office/infopath/2007/PartnerControls">3f716820-ff2c-4d8b-a421-15a948543eba</TermId>
        </TermInfo>
      </Terms>
    </k9083824e5b14b148c1f498df06d050b>
    <j41e3e7767a041b4a3befab78493d4bd xmlns="b9e52a15-8fce-43d3-9ff2-f6bd6a140a3c">
      <Terms xmlns="http://schemas.microsoft.com/office/infopath/2007/PartnerControls">
        <TermInfo xmlns="http://schemas.microsoft.com/office/infopath/2007/PartnerControls">
          <TermName xmlns="http://schemas.microsoft.com/office/infopath/2007/PartnerControls">Amnesty International</TermName>
          <TermId xmlns="http://schemas.microsoft.com/office/infopath/2007/PartnerControls">f4dc13e0-2dfe-4eaf-b7b4-4513dcf381b3</TermId>
        </TermInfo>
      </Terms>
    </j41e3e7767a041b4a3befab78493d4b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Public Statement</TermName>
          <TermId xmlns="http://schemas.microsoft.com/office/infopath/2007/PartnerControls">8661e0c5-fd20-4f27-8774-317b6de873ef</TermId>
        </TermInfo>
      </Terms>
    </m28c21cbca294ddbb6e93c2542370cd2>
    <f8f6f4de72f040e1a686eca7e210b6e0 xmlns="b9e52a15-8fce-43d3-9ff2-f6bd6a140a3c">
      <Terms xmlns="http://schemas.microsoft.com/office/infopath/2007/PartnerControls">
        <TermInfo xmlns="http://schemas.microsoft.com/office/infopath/2007/PartnerControls">
          <TermName xmlns="http://schemas.microsoft.com/office/infopath/2007/PartnerControls">Bangkok - IS</TermName>
          <TermId xmlns="http://schemas.microsoft.com/office/infopath/2007/PartnerControls">fce29746-df27-4434-828e-6cb9ce1b6d44</TermId>
        </TermInfo>
      </Terms>
    </f8f6f4de72f040e1a686eca7e210b6e0>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Indigenous People</TermName>
          <TermId xmlns="http://schemas.microsoft.com/office/infopath/2007/PartnerControls">4d891a07-f15e-4be5-ab31-259e146593ea</TermId>
        </TermInfo>
        <TermInfo xmlns="http://schemas.microsoft.com/office/infopath/2007/PartnerControls">
          <TermName xmlns="http://schemas.microsoft.com/office/infopath/2007/PartnerControls">Human Rights Defenders and Activists</TermName>
          <TermId xmlns="http://schemas.microsoft.com/office/infopath/2007/PartnerControls">03c4f92e-b388-463b-94af-99df06e6c366</TermId>
        </TermInfo>
      </Terms>
    </ded7794b23544bdda3c17d2696901649>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_dlc_DocIdPersistId xmlns="b9e52a15-8fce-43d3-9ff2-f6bd6a140a3c">true</_dlc_DocIdPersist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6BDE5-56B0-4137-B9AE-EB6E09F0B38B}">
  <ds:schemaRefs>
    <ds:schemaRef ds:uri="http://schemas.microsoft.com/sharepoint/v3/contenttype/forms"/>
  </ds:schemaRefs>
</ds:datastoreItem>
</file>

<file path=customXml/itemProps2.xml><?xml version="1.0" encoding="utf-8"?>
<ds:datastoreItem xmlns:ds="http://schemas.openxmlformats.org/officeDocument/2006/customXml" ds:itemID="{C7F4E39B-018E-49FA-AC57-08630833D205}">
  <ds:schemaRefs>
    <ds:schemaRef ds:uri="http://schemas.microsoft.com/sharepoint/events"/>
  </ds:schemaRefs>
</ds:datastoreItem>
</file>

<file path=customXml/itemProps3.xml><?xml version="1.0" encoding="utf-8"?>
<ds:datastoreItem xmlns:ds="http://schemas.openxmlformats.org/officeDocument/2006/customXml" ds:itemID="{EE53F184-13E8-48C7-8229-C0FFFF4B5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F5DF71-A924-4947-A71E-C13675880583}">
  <ds:schemaRefs>
    <ds:schemaRef ds:uri="http://schemas.microsoft.com/office/2006/metadata/properties"/>
    <ds:schemaRef ds:uri="http://schemas.microsoft.com/office/infopath/2007/PartnerControls"/>
    <ds:schemaRef ds:uri="b9e52a15-8fce-43d3-9ff2-f6bd6a140a3c"/>
  </ds:schemaRefs>
</ds:datastoreItem>
</file>

<file path=customXml/itemProps5.xml><?xml version="1.0" encoding="utf-8"?>
<ds:datastoreItem xmlns:ds="http://schemas.openxmlformats.org/officeDocument/2006/customXml" ds:itemID="{EACA33FA-AE02-4FA3-9AD1-3E161EE3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1337</Words>
  <Characters>7356</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Malaysia: Fully recognise and protect Indigenous rights</vt:lpstr>
      <vt:lpstr>Amnesty Public Statement</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MALAISIE. LES DROITS DES PEUPLES INDIGÈNES DOIVENT ÊTRE PLEINEMENT RECONNUS ET PROTÉGÉS</dc:title>
  <dc:creator>AILRC-FR</dc:creator>
  <dc:description>23 janvier 2019</dc:description>
  <cp:lastModifiedBy>Zaz</cp:lastModifiedBy>
  <cp:revision>3</cp:revision>
  <cp:lastPrinted>2018-08-16T05:14:00Z</cp:lastPrinted>
  <dcterms:created xsi:type="dcterms:W3CDTF">2019-01-30T17:23:00Z</dcterms:created>
  <dcterms:modified xsi:type="dcterms:W3CDTF">2019-01-31T23:20:00Z</dcterms:modified>
  <cp:category>Déclaration publique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BudgetCode">
    <vt:lpwstr/>
  </property>
  <property fmtid="{D5CDD505-2E9C-101B-9397-08002B2CF9AE}" pid="3" name="AIContentAuthors">
    <vt:lpwstr>357;#Amnesty International|f4dc13e0-2dfe-4eaf-b7b4-4513dcf381b3</vt:lpwstr>
  </property>
  <property fmtid="{D5CDD505-2E9C-101B-9397-08002B2CF9AE}" pid="4" name="AIDocumentType">
    <vt:lpwstr>300;#Public Statement|8661e0c5-fd20-4f27-8774-317b6de873ef</vt:lpwstr>
  </property>
  <property fmtid="{D5CDD505-2E9C-101B-9397-08002B2CF9AE}" pid="5" name="AIHumanRightsKeywords">
    <vt:lpwstr>67;#Indigenous People|4d891a07-f15e-4be5-ab31-259e146593ea;#15;#Human Rights Defenders and Activists|03c4f92e-b388-463b-94af-99df06e6c366</vt:lpwstr>
  </property>
  <property fmtid="{D5CDD505-2E9C-101B-9397-08002B2CF9AE}" pid="6" name="AIInternalKeywords">
    <vt:lpwstr/>
  </property>
  <property fmtid="{D5CDD505-2E9C-101B-9397-08002B2CF9AE}" pid="7" name="AILeadAuthor">
    <vt:lpwstr/>
  </property>
  <property fmtid="{D5CDD505-2E9C-101B-9397-08002B2CF9AE}" pid="8" name="AIOriginatingLocation">
    <vt:lpwstr>385;#Bangkok - IS|fce29746-df27-4434-828e-6cb9ce1b6d44</vt:lpwstr>
  </property>
  <property fmtid="{D5CDD505-2E9C-101B-9397-08002B2CF9AE}" pid="9" name="AIProjectName">
    <vt:lpwstr/>
  </property>
  <property fmtid="{D5CDD505-2E9C-101B-9397-08002B2CF9AE}" pid="10" name="AIRegional">
    <vt:lpwstr>57;#Malaysia|3f716820-ff2c-4d8b-a421-15a948543eba</vt:lpwstr>
  </property>
  <property fmtid="{D5CDD505-2E9C-101B-9397-08002B2CF9AE}" pid="11" name="AISupportingAuthor">
    <vt:lpwstr/>
  </property>
  <property fmtid="{D5CDD505-2E9C-101B-9397-08002B2CF9AE}" pid="12" name="ContentTypeId">
    <vt:lpwstr>0x0101005256C0F7559E496EA082CF8F6651751100CF007EF0C5E14359942596E3C93B072300C3A19FFAADE80A4A93292703C2A6228B</vt:lpwstr>
  </property>
  <property fmtid="{D5CDD505-2E9C-101B-9397-08002B2CF9AE}" pid="13" name="Order">
    <vt:r8>2394300</vt:r8>
  </property>
</Properties>
</file>