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6D7A6" w14:textId="5FB28B9E" w:rsidR="00B2666D" w:rsidRPr="009626DD" w:rsidRDefault="00F01066" w:rsidP="00432084">
      <w:pPr>
        <w:pStyle w:val="Titre3"/>
        <w:spacing w:before="0" w:line="276" w:lineRule="auto"/>
        <w:jc w:val="right"/>
        <w:rPr>
          <w:rFonts w:ascii="Arial" w:eastAsia="Times New Roman" w:hAnsi="Arial" w:cs="Arial"/>
          <w:color w:val="000000"/>
          <w:sz w:val="22"/>
          <w:szCs w:val="22"/>
          <w:highlight w:val="yellow"/>
        </w:rPr>
      </w:pPr>
      <w:r w:rsidRPr="009626DD">
        <w:rPr>
          <w:rFonts w:ascii="Arial" w:eastAsia="Times New Roman" w:hAnsi="Arial" w:cs="Arial"/>
          <w:noProof/>
          <w:color w:val="000000"/>
          <w:sz w:val="22"/>
          <w:szCs w:val="22"/>
          <w:lang w:val="fr-FR" w:eastAsia="fr-FR"/>
        </w:rPr>
        <w:drawing>
          <wp:inline distT="0" distB="0" distL="0" distR="0" wp14:anchorId="7E3FA6A7" wp14:editId="113EE6D5">
            <wp:extent cx="1647296" cy="698500"/>
            <wp:effectExtent l="0" t="0" r="3810" b="0"/>
            <wp:docPr id="5" name="Image 5" descr="Macintosh HD:Users:asspromo4:Desktop:Amnesty International:LOGOS:CHARTE GRAPHIQUE:LOGO_YELLOW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sspromo4:Desktop:Amnesty International:LOGOS:CHARTE GRAPHIQUE:LOGO_YELLOW_PRI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96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C256" w14:textId="77777777" w:rsidR="00B01C37" w:rsidRPr="009626DD" w:rsidRDefault="00B2666D" w:rsidP="00432084">
      <w:pPr>
        <w:pStyle w:val="Titre3"/>
        <w:spacing w:before="0" w:line="276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9626DD">
        <w:rPr>
          <w:rFonts w:ascii="Arial" w:eastAsia="Times New Roman" w:hAnsi="Arial" w:cs="Arial"/>
          <w:color w:val="000000"/>
          <w:sz w:val="32"/>
          <w:szCs w:val="32"/>
          <w:highlight w:val="yellow"/>
        </w:rPr>
        <w:t>DcoD LE MONDE</w:t>
      </w:r>
    </w:p>
    <w:p w14:paraId="304B3E93" w14:textId="77777777" w:rsidR="00B01C37" w:rsidRPr="009626DD" w:rsidRDefault="00B01C37" w:rsidP="00432084">
      <w:pPr>
        <w:spacing w:line="276" w:lineRule="auto"/>
        <w:rPr>
          <w:rFonts w:ascii="Arial" w:hAnsi="Arial" w:cs="Arial"/>
          <w:sz w:val="22"/>
          <w:szCs w:val="22"/>
        </w:rPr>
      </w:pPr>
    </w:p>
    <w:p w14:paraId="51AC655E" w14:textId="77777777" w:rsidR="00B01C37" w:rsidRPr="009626DD" w:rsidRDefault="00B2666D" w:rsidP="0043208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626DD">
        <w:rPr>
          <w:rFonts w:ascii="Arial" w:hAnsi="Arial" w:cs="Arial"/>
          <w:b/>
          <w:sz w:val="22"/>
          <w:szCs w:val="22"/>
        </w:rPr>
        <w:t>Chaque mois, un sujet lié à l’actualité des droits humains ou à l’évolution de nos sociétés, à discuter dans votre groupe Amnesty</w:t>
      </w:r>
    </w:p>
    <w:p w14:paraId="5DB9AA6D" w14:textId="77777777" w:rsidR="00B2666D" w:rsidRPr="009626DD" w:rsidRDefault="00B2666D" w:rsidP="00432084">
      <w:pPr>
        <w:spacing w:line="276" w:lineRule="auto"/>
        <w:rPr>
          <w:rFonts w:ascii="Arial" w:hAnsi="Arial" w:cs="Arial"/>
          <w:sz w:val="22"/>
          <w:szCs w:val="22"/>
        </w:rPr>
      </w:pPr>
    </w:p>
    <w:p w14:paraId="732441B1" w14:textId="044EECC2" w:rsidR="00432084" w:rsidRPr="00432084" w:rsidRDefault="00432084" w:rsidP="00432084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262626"/>
          <w:sz w:val="28"/>
          <w:szCs w:val="28"/>
          <w:lang w:val="fr-FR"/>
        </w:rPr>
      </w:pPr>
      <w:r w:rsidRPr="00432084">
        <w:rPr>
          <w:rFonts w:ascii="Arial" w:hAnsi="Arial" w:cs="Arial"/>
          <w:b/>
          <w:sz w:val="28"/>
          <w:szCs w:val="28"/>
        </w:rPr>
        <w:t>AVRIL</w:t>
      </w:r>
      <w:r w:rsidR="00D3190D" w:rsidRPr="00432084">
        <w:rPr>
          <w:rFonts w:ascii="Arial" w:hAnsi="Arial" w:cs="Arial"/>
          <w:b/>
          <w:sz w:val="28"/>
          <w:szCs w:val="28"/>
        </w:rPr>
        <w:t xml:space="preserve"> 2017</w:t>
      </w:r>
      <w:r w:rsidR="00B01C37" w:rsidRPr="00432084">
        <w:rPr>
          <w:rFonts w:ascii="Arial" w:hAnsi="Arial" w:cs="Arial"/>
          <w:b/>
          <w:sz w:val="28"/>
          <w:szCs w:val="28"/>
        </w:rPr>
        <w:t xml:space="preserve"> </w:t>
      </w:r>
      <w:r w:rsidR="004304FD" w:rsidRPr="00432084">
        <w:rPr>
          <w:rFonts w:ascii="Arial" w:hAnsi="Arial" w:cs="Arial"/>
          <w:b/>
          <w:sz w:val="28"/>
          <w:szCs w:val="28"/>
        </w:rPr>
        <w:t>–</w:t>
      </w:r>
      <w:r w:rsidR="00B01C37" w:rsidRPr="00432084">
        <w:rPr>
          <w:rFonts w:ascii="Arial" w:hAnsi="Arial" w:cs="Arial"/>
          <w:b/>
          <w:sz w:val="28"/>
          <w:szCs w:val="28"/>
        </w:rPr>
        <w:t xml:space="preserve"> </w:t>
      </w:r>
      <w:r w:rsidRPr="00432084">
        <w:rPr>
          <w:rFonts w:ascii="Arial" w:hAnsi="Arial" w:cs="Arial"/>
          <w:b/>
          <w:color w:val="262626"/>
          <w:sz w:val="28"/>
          <w:szCs w:val="28"/>
          <w:lang w:val="fr-FR"/>
        </w:rPr>
        <w:t>L</w:t>
      </w:r>
      <w:r w:rsidR="00EF3FB2">
        <w:rPr>
          <w:rFonts w:ascii="Arial" w:hAnsi="Arial" w:cs="Arial"/>
          <w:b/>
          <w:color w:val="262626"/>
          <w:sz w:val="28"/>
          <w:szCs w:val="28"/>
          <w:lang w:val="fr-FR"/>
        </w:rPr>
        <w:t>’</w:t>
      </w:r>
      <w:r w:rsidRPr="00432084">
        <w:rPr>
          <w:rFonts w:ascii="Arial" w:hAnsi="Arial" w:cs="Arial"/>
          <w:b/>
          <w:color w:val="262626"/>
          <w:sz w:val="28"/>
          <w:szCs w:val="28"/>
          <w:lang w:val="fr-FR"/>
        </w:rPr>
        <w:t>Europe du non-asile</w:t>
      </w:r>
      <w:r w:rsidRPr="00432084">
        <w:rPr>
          <w:rFonts w:ascii="Arial" w:hAnsi="Arial" w:cs="Arial"/>
          <w:color w:val="262626"/>
          <w:sz w:val="28"/>
          <w:szCs w:val="28"/>
          <w:lang w:val="fr-FR"/>
        </w:rPr>
        <w:t xml:space="preserve"> </w:t>
      </w:r>
      <w:r w:rsidRPr="00432084">
        <w:rPr>
          <w:rFonts w:ascii="Arial" w:hAnsi="Arial" w:cs="Arial"/>
          <w:color w:val="262626"/>
          <w:sz w:val="22"/>
          <w:szCs w:val="22"/>
          <w:lang w:val="fr-FR"/>
        </w:rPr>
        <w:t>(Le Monde, 26/3/2017)</w:t>
      </w:r>
    </w:p>
    <w:p w14:paraId="24EACBE0" w14:textId="3C5A66BD" w:rsidR="00FE0F89" w:rsidRPr="009626DD" w:rsidRDefault="00FE0F89" w:rsidP="00432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66B6E4D1" w14:textId="7BF29D32" w:rsidR="00A943C3" w:rsidRPr="009626DD" w:rsidRDefault="00A943C3" w:rsidP="00432084">
      <w:pPr>
        <w:rPr>
          <w:rFonts w:ascii="Arial" w:hAnsi="Arial" w:cs="Arial"/>
          <w:b/>
          <w:sz w:val="22"/>
          <w:szCs w:val="22"/>
        </w:rPr>
        <w:sectPr w:rsidR="00A943C3" w:rsidRPr="009626DD" w:rsidSect="00A943C3">
          <w:footerReference w:type="even" r:id="rId8"/>
          <w:footerReference w:type="default" r:id="rId9"/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  <w:r w:rsidRPr="009626DD">
        <w:rPr>
          <w:rFonts w:ascii="Arial" w:hAnsi="Arial" w:cs="Arial"/>
          <w:b/>
          <w:sz w:val="22"/>
          <w:szCs w:val="22"/>
        </w:rPr>
        <w:t>____________________________________________</w:t>
      </w:r>
      <w:r w:rsidR="00432084">
        <w:rPr>
          <w:rFonts w:ascii="Arial" w:hAnsi="Arial" w:cs="Arial"/>
          <w:b/>
          <w:sz w:val="22"/>
          <w:szCs w:val="22"/>
        </w:rPr>
        <w:t>____________________________</w:t>
      </w:r>
    </w:p>
    <w:p w14:paraId="50B579F4" w14:textId="77777777" w:rsidR="0067569F" w:rsidRPr="009626DD" w:rsidRDefault="0067569F" w:rsidP="00432084">
      <w:pPr>
        <w:widowControl w:val="0"/>
        <w:autoSpaceDE w:val="0"/>
        <w:autoSpaceDN w:val="0"/>
        <w:adjustRightInd w:val="0"/>
        <w:spacing w:after="321"/>
        <w:rPr>
          <w:rFonts w:ascii="Arial" w:hAnsi="Arial" w:cs="Arial"/>
          <w:b/>
          <w:bCs/>
          <w:sz w:val="20"/>
          <w:szCs w:val="20"/>
          <w:lang w:val="fr-FR"/>
        </w:rPr>
        <w:sectPr w:rsidR="0067569F" w:rsidRPr="009626DD" w:rsidSect="0067569F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3B0E9E24" w14:textId="0D624BA2" w:rsidR="00432084" w:rsidRPr="00432084" w:rsidRDefault="00432084" w:rsidP="00432084">
      <w:pPr>
        <w:rPr>
          <w:rFonts w:ascii="Arial" w:hAnsi="Arial" w:cs="Arial"/>
          <w:color w:val="262626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lastRenderedPageBreak/>
        <w:t>Pour Marie-Laure Basilien-Gainche, professeure de droit public à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université Lyon-III-IUF et spécialiste du droit des migrations,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Union européenne, en déléguant le contrôle des flux migratoires à des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tiers, révèle une crise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identité profonde. </w:t>
      </w:r>
    </w:p>
    <w:p w14:paraId="3AD5A272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30C5C150" w14:textId="6C890B82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Selon vous, il n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 xml:space="preserve">y a pas actuellement de 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« 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crise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»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 xml:space="preserve"> migratoire en Europe. 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Que voulez-vous dire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2D95E1FF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6A0BB57F" w14:textId="793FFB2E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y a pas de crise des réfugiés, il y a une crise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Union européenne. Certes,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Europe a été confrontée à un afflux de migrants depuis deux ans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: plus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un million en 2015, et environ 350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000 en 2016. Mais la population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Union, en 2015, était de 508 millions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habitants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! Peut-on alors considérer que nous sommes submergés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? Ce qui est vrai,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est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 y a une augmentation spectaculaire des arrivées de migrants venant du Moyen-Orient et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Afrique, et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 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agit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une population très différente de nous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culturellement, politiquement, religieusement. Il y a là une quintessence de la nature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étranger. </w:t>
      </w:r>
    </w:p>
    <w:p w14:paraId="5E3EBC60" w14:textId="371B64BE" w:rsidR="00432084" w:rsidRPr="00432084" w:rsidRDefault="00432084" w:rsidP="0043208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Mais si 508 millions 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habitants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arrivent pas à intégrer un million de personnes, cela révèle que ce que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on considère comme une puissance mondiale est en fait une puissance aux pieds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argile, en perte de confiance par rapport à elle-même. Cela révèle une crise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identité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lastRenderedPageBreak/>
        <w:t xml:space="preserve">profonde. Et ce ne sont pas les étrangers qui viennent remettre en cause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 xml:space="preserve">—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notre identité. Ce sont les Européens eux-mêmes, parce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ils renient les valeurs qui les définissent. </w:t>
      </w:r>
    </w:p>
    <w:p w14:paraId="15194E1A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06D5EF39" w14:textId="56E0E92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afflux de ces réfugiés depuis 2015 a exposé au grand jour les incohérences de la politique de 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Union européenne (UE) en la matière. Le droit d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asile a-t-il chaviré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584724E3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24B88706" w14:textId="55A6F4D4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Le droit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 existe, parce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il est affirmé dans les Constitutions des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membres, parce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 est reconnu dans le droit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UE, parce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 est affirmé dans la Convention européenne des droits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homme. Mais il a chaviré, parce que les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tats, à travers les politiques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UE et leur mise en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œ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uvre, ont tout fait pour contourner ces obligation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s juridiques. </w:t>
      </w:r>
    </w:p>
    <w:p w14:paraId="5620AED8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3EE0811D" w14:textId="2A218570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Quand ce contournement a-t-il démarré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45C61DE9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5C764E75" w14:textId="6EE46C68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Dès le milieu des années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2000, quand a été adopté un régime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 européen commun avec des normes minimales concernant la qualification de réfugié,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examen des demandes et les conditions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accueil. Est désormais à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étude le troisième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«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paquet asile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»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, proposé par la Commission à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été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2016, qui est catastrophique. Car les textes de cette réforme sont pour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essentiel des règlements, plus contraignants pour les </w:t>
      </w:r>
      <w:r>
        <w:rPr>
          <w:rFonts w:ascii="Arial" w:hAnsi="Arial" w:cs="Arial"/>
          <w:color w:val="1A1A1A"/>
          <w:sz w:val="22"/>
          <w:szCs w:val="22"/>
          <w:lang w:val="fr-FR"/>
        </w:rPr>
        <w:lastRenderedPageBreak/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membres que des directives, dans le but de forcer une communautarisation du régime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asile. Ce qui, en soi, ne poserait pas de problème, si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avaient été privilégiées une fois encore les formes du droit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 les plus basses.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est donc un niv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è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lement par le bas qui 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imposera à tout le monde. </w:t>
      </w:r>
    </w:p>
    <w:p w14:paraId="1B034FD0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6919B1A8" w14:textId="35D51200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 xml:space="preserve">Antonio 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Guterres, désormais secrétaire général de 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ONU, qualifiait en septembre 2015 le s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ystème européen de 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 xml:space="preserve">asile de 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« 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déséquilibré et dysfonctionnel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»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 La situation va-t-elle donc empirer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19C164BB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2B422696" w14:textId="7BA3670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Actuellement, le régime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 en Europe est déséquilibré et dysfonctionnel pour deux raisons vitales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: il contrevient au principe de solidarité en faisant peser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essentiel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effort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accueil sur les pays du sud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Europe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; il contrevient au principe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égalité selon lequel tous les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traitent les demandes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asile de la même manière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ce qui est une fiction. </w:t>
      </w:r>
    </w:p>
    <w:p w14:paraId="23CF1B5D" w14:textId="20E1389A" w:rsidR="00432084" w:rsidRPr="00432084" w:rsidRDefault="00432084" w:rsidP="00432084">
      <w:pPr>
        <w:widowControl w:val="0"/>
        <w:autoSpaceDE w:val="0"/>
        <w:autoSpaceDN w:val="0"/>
        <w:adjustRightInd w:val="0"/>
        <w:ind w:firstLine="40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Or, le troisi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 xml:space="preserve">ème « paquet asile » va encore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diminuer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accès des réfugiés à la protection internationale, en utilisant la notion de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«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pays sûr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»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(pays où les réfugiés ne devraient a priori pas craindre de persécutions ou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atteintes à leurs libertés et sécurité).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idée à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étude est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accélérer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ex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 xml:space="preserve">ternalisation de l’accueil, en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reconnaissant tous les pays non européens du bassin méditerranéen comme des pays sûrs. </w:t>
      </w:r>
    </w:p>
    <w:p w14:paraId="5B599494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16A5CAC9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71612C66" w14:textId="7B9D1CA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Comment 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Europe pourrait-elle renouer avec ses valeurs de solidarité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37F14BC7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3EF4DB8C" w14:textId="57B7BE39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Deux solutions complémentaires existent dans les textes,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 suffirait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activer. La première,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est la directive de 2001 sur la protection temporaire en cas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afflux massif de personnes déplacées, une procédure de caractère exceptionnel permettant de suppléer le système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 lorsque celui-ci est débordé. La seconde est le visa humanitaire prévu à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article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25 du code frontières Schengen. </w:t>
      </w:r>
    </w:p>
    <w:p w14:paraId="529763EC" w14:textId="43DD3613" w:rsidR="00432084" w:rsidRPr="00432084" w:rsidRDefault="00432084" w:rsidP="00432084">
      <w:pPr>
        <w:widowControl w:val="0"/>
        <w:autoSpaceDE w:val="0"/>
        <w:autoSpaceDN w:val="0"/>
        <w:adjustRightInd w:val="0"/>
        <w:ind w:firstLine="40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lastRenderedPageBreak/>
        <w:t>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ils fuient le conflit en Syrie, les persécutions en Afghanistan ou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horreur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rythrée, les migrants qui viennent par la voie méditerranéenne sont contraints à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illégalité pour la simple raison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il leur faudrait un visa pour venir de manière légale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même pour un court séjour compte tenu du pays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où ils arrivent. Or, dans ces pays, les règles pour obtenir un visa sont absolument hallucinantes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! Faire des visas humanitaires permettrait de donner aux demandeurs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asile un accès légal, par avion, au territoire européen. Cela tarirait le business des passeurs et éviterait les morts en mer, et cela permettrait une meilleure répartition des demandeurs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asile. </w:t>
      </w:r>
    </w:p>
    <w:p w14:paraId="14E13B50" w14:textId="3B34A3F7" w:rsidR="00432084" w:rsidRPr="00432084" w:rsidRDefault="00432084" w:rsidP="00432084">
      <w:pPr>
        <w:widowControl w:val="0"/>
        <w:autoSpaceDE w:val="0"/>
        <w:autoSpaceDN w:val="0"/>
        <w:adjustRightInd w:val="0"/>
        <w:ind w:firstLine="40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On a donc deux outils juridiques que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Union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utilise pas parce que ses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membres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ont pas envie de le faire. Dans un arrêt du 7 mars, la Cour de justice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UE a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ailleurs clairement considéré que la question du visa humanitaire relevait de la compétence discrétionnaire des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et non du droit européen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: elle a donné raison à la Belgique, qui avait refusé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accorder un visa humanitaire à des demandeurs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asile syriens. </w:t>
      </w:r>
    </w:p>
    <w:p w14:paraId="1FAD3917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5373F6B4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22CC3EF2" w14:textId="3458A4E2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La solution, c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est donc les autres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 Externaliser le problème au-delà des frontières de l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Union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10977E71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1EDA7531" w14:textId="71A61C1C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est ce vers quoi on 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oriente. Pour les migrants qui sont déjà en Europe, des accords de réadmission ont déjà été conclus avec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Afghanistan, on est en train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en négocier ave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 xml:space="preserve">c la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Libye, avec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rythrée, afin de pouvoir renvoyer des réfugiés déjà arrivés en Europe. Pour ceux qui 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ne sont pas encore arrivés, on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demande à des pays tiers (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du Maghreb, Turquie, etc.) de devenir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les zones tampons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>
        <w:rPr>
          <w:rFonts w:ascii="Arial" w:hAnsi="Arial" w:cs="Arial"/>
          <w:color w:val="1A1A1A"/>
          <w:sz w:val="22"/>
          <w:szCs w:val="22"/>
          <w:lang w:val="fr-FR"/>
        </w:rPr>
        <w:t>Europe,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est 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on appelle la gestion concertée des flux migratoires. Mais, dans nombre de ces pays, les réfugiés ne vont pas bénéficier des droits internationaux. On sous-traite donc le contrôle des flux migratoires à des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tiers dont on sait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ils ne respectent pas les droits fondamentaux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premier problème. </w:t>
      </w:r>
    </w:p>
    <w:p w14:paraId="3DCE9EDC" w14:textId="74D66B93" w:rsidR="00432084" w:rsidRPr="00432084" w:rsidRDefault="00432084" w:rsidP="00432084">
      <w:pPr>
        <w:widowControl w:val="0"/>
        <w:autoSpaceDE w:val="0"/>
        <w:autoSpaceDN w:val="0"/>
        <w:adjustRightInd w:val="0"/>
        <w:ind w:firstLine="40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lastRenderedPageBreak/>
        <w:t>Le second pr</w:t>
      </w:r>
      <w:r>
        <w:rPr>
          <w:rFonts w:ascii="Arial" w:hAnsi="Arial" w:cs="Arial"/>
          <w:color w:val="1A1A1A"/>
          <w:sz w:val="22"/>
          <w:szCs w:val="22"/>
          <w:lang w:val="fr-FR"/>
        </w:rPr>
        <w:t>oblème,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est que les aides au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développement que ces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É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tats tiers sont en droit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attendre en retour ne vont pas toujours vraiment au développement. Quand la chancelière allemande Angela Merkel propose à la Tunisie, comme elle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 fait début mars, 250 millions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euros principalement destinés à soutenir des projets de coopération dans le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 xml:space="preserve">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domaine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agriculture et des énergies,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est une bonne politique. Mais il faut prendre garde que les aides données à ces pays en contrepartie de leur gestion des flux migratoires ne soient pas des aides fléchées, allant une fois encore dans notre propre intérêt et non dans le leur. </w:t>
      </w:r>
    </w:p>
    <w:p w14:paraId="3AB13165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3AC0B081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0D402347" w14:textId="7D679B2B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 xml:space="preserve">Une vraie aide, ciblée 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 xml:space="preserve">sur des 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« </w:t>
      </w:r>
      <w:r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pays sûrs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»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, serait-elle une solution</w:t>
      </w:r>
      <w:r w:rsidR="00EF3FB2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?</w:t>
      </w:r>
    </w:p>
    <w:p w14:paraId="7096092C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</w:p>
    <w:p w14:paraId="46EAC788" w14:textId="1F2CC766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Oui, mais en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partie seulement, car cela ne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résoudra pas le problème de la protection des droits fond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amentaux dans ces pays-là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en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Libye, par exemple, la Convention sur le statut des réfugiés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 jamais été ratifiée. Par ailleurs, les études sont très claires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: plus les pays se développent et reconnaissent les droits fondamentaux, plus leurs habitants migrent, parce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ils veulent aussi profiter de la mobilité dont nous profitons nous-mêmes. Enfin, sur le moyen terme, on ne peut pas faire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impasse sur la question de savoir ce que deviennent ces populations. </w:t>
      </w:r>
    </w:p>
    <w:p w14:paraId="37F591A3" w14:textId="08E192D1" w:rsidR="00432084" w:rsidRPr="00432084" w:rsidRDefault="00432084" w:rsidP="00432084">
      <w:pPr>
        <w:widowControl w:val="0"/>
        <w:autoSpaceDE w:val="0"/>
        <w:autoSpaceDN w:val="0"/>
        <w:adjustRightInd w:val="0"/>
        <w:ind w:firstLine="40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Prenez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exemple des réfugiés irakiens en Jordanie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: certains sont dans des camps depuis... 1992. Quelle vie leur a-t-on </w:t>
      </w:r>
      <w:bookmarkStart w:id="0" w:name="_GoBack"/>
      <w:r w:rsidRPr="00432084">
        <w:rPr>
          <w:rFonts w:ascii="Arial" w:hAnsi="Arial" w:cs="Arial"/>
          <w:color w:val="1A1A1A"/>
          <w:sz w:val="22"/>
          <w:szCs w:val="22"/>
          <w:lang w:val="fr-FR"/>
        </w:rPr>
        <w:t>offert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e</w:t>
      </w:r>
      <w:bookmarkEnd w:id="0"/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? Une vie de camp, ça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 pas de sens. Il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y a pas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école, pas de travail, pas de formation, pas 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avenir. Est-ce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on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st pas en train de traiter ces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réfugiés comme des sous-hommes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? Comme des indésirables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 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? </w:t>
      </w:r>
    </w:p>
    <w:p w14:paraId="62E0DCE6" w14:textId="0585CB89" w:rsidR="00432084" w:rsidRPr="00432084" w:rsidRDefault="00432084" w:rsidP="00432084">
      <w:pPr>
        <w:widowControl w:val="0"/>
        <w:autoSpaceDE w:val="0"/>
        <w:autoSpaceDN w:val="0"/>
        <w:adjustRightInd w:val="0"/>
        <w:ind w:firstLine="40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En 2005, je travaillais déjà sur la question des migrations. Je me souviens avoir dit dans un séminaire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: soit on modifie notre façon de penser, soit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un jour les flots de migrants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seront tels que tous nos systèmes de sécurité seront abattus par la masse. Quand on sait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on va avoir de plus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lastRenderedPageBreak/>
        <w:t xml:space="preserve">en plus de réfugiés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 on en prévoit un milliard en 2050 avec le réchauffement climatique 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—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, il 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y a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pas 36 perspectives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: soit on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accompagne le changement et ça se passe au mieux, soit on fait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autruche comme on le fait aujourd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hui, et ça va être dramatique. C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est toujours la même question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 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: vision à court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 terme ou vision à long terme. À quoi s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>
        <w:rPr>
          <w:rFonts w:ascii="Arial" w:hAnsi="Arial" w:cs="Arial"/>
          <w:color w:val="1A1A1A"/>
          <w:sz w:val="22"/>
          <w:szCs w:val="22"/>
          <w:lang w:val="fr-FR"/>
        </w:rPr>
        <w:t xml:space="preserve">ajoute une 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vision de l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>homme comme ayant, quel qu</w:t>
      </w:r>
      <w:r w:rsidR="00EF3FB2">
        <w:rPr>
          <w:rFonts w:ascii="Arial" w:hAnsi="Arial" w:cs="Arial"/>
          <w:color w:val="1A1A1A"/>
          <w:sz w:val="22"/>
          <w:szCs w:val="22"/>
          <w:lang w:val="fr-FR"/>
        </w:rPr>
        <w:t>’</w:t>
      </w:r>
      <w:r w:rsidRPr="00432084">
        <w:rPr>
          <w:rFonts w:ascii="Arial" w:hAnsi="Arial" w:cs="Arial"/>
          <w:color w:val="1A1A1A"/>
          <w:sz w:val="22"/>
          <w:szCs w:val="22"/>
          <w:lang w:val="fr-FR"/>
        </w:rPr>
        <w:t xml:space="preserve">il soit, une même dignité que soi-même. </w:t>
      </w:r>
    </w:p>
    <w:p w14:paraId="1D23968E" w14:textId="77777777" w:rsid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A1A1A"/>
          <w:sz w:val="22"/>
          <w:szCs w:val="22"/>
          <w:lang w:val="fr-FR"/>
        </w:rPr>
      </w:pPr>
    </w:p>
    <w:p w14:paraId="678756B8" w14:textId="77777777" w:rsidR="00432084" w:rsidRPr="00432084" w:rsidRDefault="00432084" w:rsidP="0043208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  <w:lang w:val="fr-FR"/>
        </w:rPr>
      </w:pPr>
      <w:r w:rsidRPr="00432084">
        <w:rPr>
          <w:rFonts w:ascii="Arial" w:hAnsi="Arial" w:cs="Arial"/>
          <w:b/>
          <w:bCs/>
          <w:color w:val="1A1A1A"/>
          <w:sz w:val="22"/>
          <w:szCs w:val="22"/>
          <w:lang w:val="fr-FR"/>
        </w:rPr>
        <w:t>Propos recueillis par Catherine Vincent</w:t>
      </w:r>
    </w:p>
    <w:p w14:paraId="5446AFD0" w14:textId="4E16B1A7" w:rsidR="00C436D1" w:rsidRPr="009626DD" w:rsidRDefault="00432084" w:rsidP="00432084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C436D1">
        <w:rPr>
          <w:rFonts w:ascii="Arial" w:hAnsi="Arial" w:cs="Arial"/>
          <w:sz w:val="22"/>
          <w:szCs w:val="22"/>
          <w:lang w:val="fr-FR"/>
        </w:rPr>
        <w:t>-----------------------------------------------------</w:t>
      </w:r>
    </w:p>
    <w:p w14:paraId="13793279" w14:textId="5D146CF7" w:rsidR="00FC29B0" w:rsidRPr="009626DD" w:rsidRDefault="00FC29B0" w:rsidP="00432084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2"/>
          <w:szCs w:val="22"/>
          <w:lang w:val="fr-FR"/>
        </w:rPr>
      </w:pPr>
    </w:p>
    <w:sectPr w:rsidR="00FC29B0" w:rsidRPr="009626DD" w:rsidSect="00FA6389">
      <w:type w:val="continuous"/>
      <w:pgSz w:w="12240" w:h="15840"/>
      <w:pgMar w:top="1417" w:right="1417" w:bottom="1417" w:left="1417" w:header="720" w:footer="720" w:gutter="0"/>
      <w:cols w:num="2" w:space="709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4CCF1" w14:textId="77777777" w:rsidR="004F6642" w:rsidRDefault="004F6642" w:rsidP="00D233E4">
      <w:r>
        <w:separator/>
      </w:r>
    </w:p>
  </w:endnote>
  <w:endnote w:type="continuationSeparator" w:id="0">
    <w:p w14:paraId="6D7661B6" w14:textId="77777777" w:rsidR="004F6642" w:rsidRDefault="004F6642" w:rsidP="00D2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B4CD3" w14:textId="77777777" w:rsidR="004F6642" w:rsidRDefault="004F6642" w:rsidP="0067569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8BC7C3" w14:textId="77777777" w:rsidR="004F6642" w:rsidRDefault="004F6642" w:rsidP="00D233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D8261" w14:textId="77777777" w:rsidR="004F6642" w:rsidRDefault="004F6642" w:rsidP="0067569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F3FB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FC97F17" w14:textId="77777777" w:rsidR="004F6642" w:rsidRDefault="004F6642" w:rsidP="00D233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391FA" w14:textId="77777777" w:rsidR="004F6642" w:rsidRDefault="004F6642" w:rsidP="00D233E4">
      <w:r>
        <w:separator/>
      </w:r>
    </w:p>
  </w:footnote>
  <w:footnote w:type="continuationSeparator" w:id="0">
    <w:p w14:paraId="559E93A9" w14:textId="77777777" w:rsidR="004F6642" w:rsidRDefault="004F6642" w:rsidP="00D23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DA"/>
    <w:rsid w:val="00075E52"/>
    <w:rsid w:val="00105C45"/>
    <w:rsid w:val="00162227"/>
    <w:rsid w:val="00191DDA"/>
    <w:rsid w:val="00205B9B"/>
    <w:rsid w:val="00216F84"/>
    <w:rsid w:val="002E51A4"/>
    <w:rsid w:val="00384940"/>
    <w:rsid w:val="003A7664"/>
    <w:rsid w:val="004304FD"/>
    <w:rsid w:val="00432084"/>
    <w:rsid w:val="004F6327"/>
    <w:rsid w:val="004F6642"/>
    <w:rsid w:val="00541645"/>
    <w:rsid w:val="005A0B91"/>
    <w:rsid w:val="0067569F"/>
    <w:rsid w:val="008864DA"/>
    <w:rsid w:val="0095450D"/>
    <w:rsid w:val="009626DD"/>
    <w:rsid w:val="00A943C3"/>
    <w:rsid w:val="00B01C37"/>
    <w:rsid w:val="00B2666D"/>
    <w:rsid w:val="00BE5AA7"/>
    <w:rsid w:val="00C436D1"/>
    <w:rsid w:val="00D20A65"/>
    <w:rsid w:val="00D233E4"/>
    <w:rsid w:val="00D3190D"/>
    <w:rsid w:val="00E57E36"/>
    <w:rsid w:val="00ED7FBF"/>
    <w:rsid w:val="00EF3FB2"/>
    <w:rsid w:val="00F01066"/>
    <w:rsid w:val="00F36042"/>
    <w:rsid w:val="00F91137"/>
    <w:rsid w:val="00FA6389"/>
    <w:rsid w:val="00FC29B0"/>
    <w:rsid w:val="00FE0F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402D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1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91DD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91DDA"/>
    <w:rPr>
      <w:rFonts w:ascii="Times" w:hAnsi="Times"/>
      <w:b/>
      <w:bCs/>
      <w:lang w:val="fr-BE" w:eastAsia="fr-FR"/>
    </w:rPr>
  </w:style>
  <w:style w:type="character" w:customStyle="1" w:styleId="Titre3Car">
    <w:name w:val="Titre 3 Car"/>
    <w:basedOn w:val="Policepardfaut"/>
    <w:link w:val="Titre3"/>
    <w:uiPriority w:val="9"/>
    <w:rsid w:val="00191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91DD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BE" w:eastAsia="fr-FR"/>
    </w:rPr>
  </w:style>
  <w:style w:type="character" w:customStyle="1" w:styleId="apple-converted-space">
    <w:name w:val="apple-converted-space"/>
    <w:basedOn w:val="Policepardfaut"/>
    <w:rsid w:val="00B01C37"/>
  </w:style>
  <w:style w:type="character" w:styleId="Lienhypertexte">
    <w:name w:val="Hyperlink"/>
    <w:basedOn w:val="Policepardfaut"/>
    <w:uiPriority w:val="99"/>
    <w:semiHidden/>
    <w:unhideWhenUsed/>
    <w:rsid w:val="00B01C3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01C3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0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C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C37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4304F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233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3E4"/>
    <w:rPr>
      <w:sz w:val="24"/>
      <w:szCs w:val="24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D233E4"/>
  </w:style>
  <w:style w:type="paragraph" w:styleId="En-tte">
    <w:name w:val="header"/>
    <w:basedOn w:val="Normal"/>
    <w:link w:val="En-tteCar"/>
    <w:uiPriority w:val="99"/>
    <w:unhideWhenUsed/>
    <w:rsid w:val="00105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5C45"/>
    <w:rPr>
      <w:sz w:val="24"/>
      <w:szCs w:val="24"/>
      <w:lang w:val="en-GB"/>
    </w:rPr>
  </w:style>
  <w:style w:type="paragraph" w:styleId="Notedebasdepage">
    <w:name w:val="footnote text"/>
    <w:basedOn w:val="Normal"/>
    <w:link w:val="NotedebasdepageCar"/>
    <w:uiPriority w:val="99"/>
    <w:unhideWhenUsed/>
    <w:rsid w:val="00F91137"/>
  </w:style>
  <w:style w:type="character" w:customStyle="1" w:styleId="NotedebasdepageCar">
    <w:name w:val="Note de bas de page Car"/>
    <w:basedOn w:val="Policepardfaut"/>
    <w:link w:val="Notedebasdepage"/>
    <w:uiPriority w:val="99"/>
    <w:rsid w:val="00F91137"/>
    <w:rPr>
      <w:sz w:val="24"/>
      <w:szCs w:val="24"/>
      <w:lang w:val="en-GB"/>
    </w:rPr>
  </w:style>
  <w:style w:type="character" w:styleId="Marquenotebasdepage">
    <w:name w:val="footnote reference"/>
    <w:basedOn w:val="Policepardfaut"/>
    <w:uiPriority w:val="99"/>
    <w:unhideWhenUsed/>
    <w:rsid w:val="00F9113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1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91DD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91DDA"/>
    <w:rPr>
      <w:rFonts w:ascii="Times" w:hAnsi="Times"/>
      <w:b/>
      <w:bCs/>
      <w:lang w:val="fr-BE" w:eastAsia="fr-FR"/>
    </w:rPr>
  </w:style>
  <w:style w:type="character" w:customStyle="1" w:styleId="Titre3Car">
    <w:name w:val="Titre 3 Car"/>
    <w:basedOn w:val="Policepardfaut"/>
    <w:link w:val="Titre3"/>
    <w:uiPriority w:val="9"/>
    <w:rsid w:val="00191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91DD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BE" w:eastAsia="fr-FR"/>
    </w:rPr>
  </w:style>
  <w:style w:type="character" w:customStyle="1" w:styleId="apple-converted-space">
    <w:name w:val="apple-converted-space"/>
    <w:basedOn w:val="Policepardfaut"/>
    <w:rsid w:val="00B01C37"/>
  </w:style>
  <w:style w:type="character" w:styleId="Lienhypertexte">
    <w:name w:val="Hyperlink"/>
    <w:basedOn w:val="Policepardfaut"/>
    <w:uiPriority w:val="99"/>
    <w:semiHidden/>
    <w:unhideWhenUsed/>
    <w:rsid w:val="00B01C3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01C3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0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C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C37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4304F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233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3E4"/>
    <w:rPr>
      <w:sz w:val="24"/>
      <w:szCs w:val="24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D233E4"/>
  </w:style>
  <w:style w:type="paragraph" w:styleId="En-tte">
    <w:name w:val="header"/>
    <w:basedOn w:val="Normal"/>
    <w:link w:val="En-tteCar"/>
    <w:uiPriority w:val="99"/>
    <w:unhideWhenUsed/>
    <w:rsid w:val="00105C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5C45"/>
    <w:rPr>
      <w:sz w:val="24"/>
      <w:szCs w:val="24"/>
      <w:lang w:val="en-GB"/>
    </w:rPr>
  </w:style>
  <w:style w:type="paragraph" w:styleId="Notedebasdepage">
    <w:name w:val="footnote text"/>
    <w:basedOn w:val="Normal"/>
    <w:link w:val="NotedebasdepageCar"/>
    <w:uiPriority w:val="99"/>
    <w:unhideWhenUsed/>
    <w:rsid w:val="00F91137"/>
  </w:style>
  <w:style w:type="character" w:customStyle="1" w:styleId="NotedebasdepageCar">
    <w:name w:val="Note de bas de page Car"/>
    <w:basedOn w:val="Policepardfaut"/>
    <w:link w:val="Notedebasdepage"/>
    <w:uiPriority w:val="99"/>
    <w:rsid w:val="00F91137"/>
    <w:rPr>
      <w:sz w:val="24"/>
      <w:szCs w:val="24"/>
      <w:lang w:val="en-GB"/>
    </w:rPr>
  </w:style>
  <w:style w:type="character" w:styleId="Marquenotebasdepage">
    <w:name w:val="footnote reference"/>
    <w:basedOn w:val="Policepardfaut"/>
    <w:uiPriority w:val="99"/>
    <w:unhideWhenUsed/>
    <w:rsid w:val="00F91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186">
          <w:blockQuote w:val="1"/>
          <w:marLeft w:val="9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1364</Words>
  <Characters>7506</Characters>
  <Application>Microsoft Macintosh Word</Application>
  <DocSecurity>0</DocSecurity>
  <Lines>62</Lines>
  <Paragraphs>17</Paragraphs>
  <ScaleCrop>false</ScaleCrop>
  <Company>AIBF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Hensmans</dc:creator>
  <cp:keywords/>
  <dc:description/>
  <cp:lastModifiedBy>Antoine Caudron</cp:lastModifiedBy>
  <cp:revision>18</cp:revision>
  <cp:lastPrinted>2017-04-03T06:40:00Z</cp:lastPrinted>
  <dcterms:created xsi:type="dcterms:W3CDTF">2016-02-01T15:52:00Z</dcterms:created>
  <dcterms:modified xsi:type="dcterms:W3CDTF">2017-04-03T06:49:00Z</dcterms:modified>
</cp:coreProperties>
</file>